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E06" w:rsidRDefault="00F16CB8" w:rsidP="0037204B">
      <w:pPr>
        <w:jc w:val="center"/>
        <w:rPr>
          <w:b/>
          <w:sz w:val="44"/>
          <w:szCs w:val="44"/>
        </w:rPr>
      </w:pPr>
      <w:r w:rsidRPr="008973D4">
        <w:rPr>
          <w:b/>
          <w:sz w:val="44"/>
          <w:szCs w:val="44"/>
        </w:rPr>
        <w:t>2016 FCS Annual Lesson Series</w:t>
      </w:r>
    </w:p>
    <w:p w:rsidR="0037204B" w:rsidRDefault="0037204B" w:rsidP="00F16CB8">
      <w:pPr>
        <w:rPr>
          <w:rFonts w:ascii="Calibri" w:hAnsi="Calibri" w:cs="Calibri"/>
          <w:b/>
          <w:sz w:val="28"/>
          <w:szCs w:val="28"/>
        </w:rPr>
      </w:pPr>
    </w:p>
    <w:p w:rsidR="00B5780B" w:rsidRDefault="00B5780B" w:rsidP="00F16CB8">
      <w:pPr>
        <w:rPr>
          <w:rFonts w:ascii="Calibri" w:hAnsi="Calibri" w:cs="Calibri"/>
          <w:b/>
          <w:sz w:val="28"/>
          <w:szCs w:val="28"/>
        </w:rPr>
        <w:sectPr w:rsidR="00B5780B" w:rsidSect="00310798">
          <w:pgSz w:w="12240" w:h="15840"/>
          <w:pgMar w:top="1152" w:right="720" w:bottom="576" w:left="720" w:header="720" w:footer="720" w:gutter="0"/>
          <w:cols w:space="720"/>
          <w:docGrid w:linePitch="360"/>
        </w:sectPr>
      </w:pPr>
    </w:p>
    <w:tbl>
      <w:tblPr>
        <w:tblStyle w:val="TableGrid"/>
        <w:tblW w:w="0" w:type="auto"/>
        <w:tblLook w:val="04A0" w:firstRow="1" w:lastRow="0" w:firstColumn="1" w:lastColumn="0" w:noHBand="0" w:noVBand="1"/>
      </w:tblPr>
      <w:tblGrid>
        <w:gridCol w:w="5246"/>
      </w:tblGrid>
      <w:tr w:rsidR="00B5780B" w:rsidTr="00B5780B">
        <w:tc>
          <w:tcPr>
            <w:tcW w:w="5246" w:type="dxa"/>
          </w:tcPr>
          <w:p w:rsidR="00B5780B" w:rsidRPr="00CB16AA" w:rsidRDefault="00B5780B" w:rsidP="00B5780B">
            <w:pPr>
              <w:rPr>
                <w:rFonts w:ascii="Calibri" w:hAnsi="Calibri" w:cs="Calibri"/>
                <w:i/>
                <w:sz w:val="18"/>
                <w:szCs w:val="18"/>
              </w:rPr>
            </w:pPr>
            <w:proofErr w:type="spellStart"/>
            <w:r w:rsidRPr="008973D4">
              <w:rPr>
                <w:rFonts w:ascii="Calibri" w:hAnsi="Calibri" w:cs="Calibri"/>
                <w:b/>
                <w:sz w:val="28"/>
                <w:szCs w:val="28"/>
              </w:rPr>
              <w:lastRenderedPageBreak/>
              <w:t>CoupleTALK</w:t>
            </w:r>
            <w:proofErr w:type="spellEnd"/>
            <w:r w:rsidRPr="008973D4">
              <w:rPr>
                <w:rFonts w:ascii="Calibri" w:hAnsi="Calibri" w:cs="Calibri"/>
                <w:b/>
                <w:sz w:val="28"/>
                <w:szCs w:val="28"/>
              </w:rPr>
              <w:t>:  Enhancing Your Relationship –</w:t>
            </w:r>
            <w:r>
              <w:rPr>
                <w:rFonts w:ascii="Calibri" w:hAnsi="Calibri" w:cs="Calibri"/>
              </w:rPr>
              <w:t xml:space="preserve"> </w:t>
            </w:r>
            <w:r w:rsidRPr="00CB16AA">
              <w:rPr>
                <w:rFonts w:ascii="Calibri" w:hAnsi="Calibri" w:cs="Calibri"/>
                <w:i/>
                <w:sz w:val="18"/>
                <w:szCs w:val="18"/>
              </w:rPr>
              <w:t xml:space="preserve">Charlotte </w:t>
            </w:r>
            <w:proofErr w:type="spellStart"/>
            <w:r w:rsidRPr="00CB16AA">
              <w:rPr>
                <w:rFonts w:ascii="Calibri" w:hAnsi="Calibri" w:cs="Calibri"/>
                <w:i/>
                <w:sz w:val="18"/>
                <w:szCs w:val="18"/>
              </w:rPr>
              <w:t>Shoup</w:t>
            </w:r>
            <w:proofErr w:type="spellEnd"/>
            <w:r w:rsidRPr="00CB16AA">
              <w:rPr>
                <w:rFonts w:ascii="Calibri" w:hAnsi="Calibri" w:cs="Calibri"/>
                <w:i/>
                <w:sz w:val="18"/>
                <w:szCs w:val="18"/>
              </w:rPr>
              <w:t xml:space="preserve"> Olsen, Extension Specialist, Family Systems</w:t>
            </w:r>
          </w:p>
          <w:p w:rsidR="00B5780B" w:rsidRDefault="00B5780B" w:rsidP="00B5780B">
            <w:pPr>
              <w:rPr>
                <w:rFonts w:ascii="Calibri" w:hAnsi="Calibri" w:cs="Calibri"/>
              </w:rPr>
            </w:pPr>
          </w:p>
          <w:p w:rsidR="00B5780B" w:rsidRPr="00CB16AA" w:rsidRDefault="00B5780B" w:rsidP="00B5780B">
            <w:pPr>
              <w:rPr>
                <w:rFonts w:ascii="Calibri" w:hAnsi="Calibri" w:cs="Calibri"/>
                <w:sz w:val="20"/>
                <w:szCs w:val="20"/>
              </w:rPr>
            </w:pPr>
            <w:r w:rsidRPr="00CB16AA">
              <w:rPr>
                <w:rFonts w:ascii="Calibri" w:hAnsi="Calibri" w:cs="Calibri"/>
                <w:sz w:val="20"/>
                <w:szCs w:val="20"/>
              </w:rPr>
              <w:t xml:space="preserve">Intimate relationships take hard work.  They do not just happen – they require attention.  This </w:t>
            </w:r>
            <w:proofErr w:type="spellStart"/>
            <w:r w:rsidRPr="00CB16AA">
              <w:rPr>
                <w:rFonts w:ascii="Calibri" w:hAnsi="Calibri" w:cs="Calibri"/>
                <w:sz w:val="20"/>
                <w:szCs w:val="20"/>
              </w:rPr>
              <w:t>CoupleTALK</w:t>
            </w:r>
            <w:proofErr w:type="spellEnd"/>
            <w:r w:rsidRPr="00CB16AA">
              <w:rPr>
                <w:rFonts w:ascii="Calibri" w:hAnsi="Calibri" w:cs="Calibri"/>
                <w:sz w:val="20"/>
                <w:szCs w:val="20"/>
              </w:rPr>
              <w:t xml:space="preserve"> lesson emphasizes skill-building to enrich personal relationship and is an abbreviated updated version of the original </w:t>
            </w:r>
            <w:proofErr w:type="spellStart"/>
            <w:r w:rsidRPr="00CB16AA">
              <w:rPr>
                <w:rFonts w:ascii="Calibri" w:hAnsi="Calibri" w:cs="Calibri"/>
                <w:sz w:val="20"/>
                <w:szCs w:val="20"/>
              </w:rPr>
              <w:t>CoupleTALK</w:t>
            </w:r>
            <w:proofErr w:type="spellEnd"/>
            <w:r w:rsidRPr="00CB16AA">
              <w:rPr>
                <w:rFonts w:ascii="Calibri" w:hAnsi="Calibri" w:cs="Calibri"/>
                <w:sz w:val="20"/>
                <w:szCs w:val="20"/>
              </w:rPr>
              <w:t xml:space="preserve"> program </w:t>
            </w:r>
            <w:r w:rsidR="00560494">
              <w:rPr>
                <w:rFonts w:ascii="Calibri" w:hAnsi="Calibri" w:cs="Calibri"/>
                <w:sz w:val="20"/>
                <w:szCs w:val="20"/>
              </w:rPr>
              <w:t>that was created in the late 199</w:t>
            </w:r>
            <w:r w:rsidRPr="00CB16AA">
              <w:rPr>
                <w:rFonts w:ascii="Calibri" w:hAnsi="Calibri" w:cs="Calibri"/>
                <w:sz w:val="20"/>
                <w:szCs w:val="20"/>
              </w:rPr>
              <w:t>0s</w:t>
            </w:r>
            <w:r w:rsidR="00A806C4" w:rsidRPr="00CB16AA">
              <w:rPr>
                <w:rFonts w:ascii="Calibri" w:hAnsi="Calibri" w:cs="Calibri"/>
                <w:sz w:val="20"/>
                <w:szCs w:val="20"/>
              </w:rPr>
              <w:t>.</w:t>
            </w:r>
          </w:p>
        </w:tc>
      </w:tr>
    </w:tbl>
    <w:p w:rsidR="00B5780B" w:rsidRPr="00B127BE" w:rsidRDefault="00B5780B" w:rsidP="00B5780B">
      <w:pPr>
        <w:spacing w:after="0" w:line="240" w:lineRule="auto"/>
        <w:rPr>
          <w:rFonts w:ascii="Calibri" w:hAnsi="Calibri" w:cs="Calibri"/>
        </w:rPr>
      </w:pPr>
    </w:p>
    <w:tbl>
      <w:tblPr>
        <w:tblStyle w:val="TableGrid"/>
        <w:tblW w:w="0" w:type="auto"/>
        <w:tblLook w:val="04A0" w:firstRow="1" w:lastRow="0" w:firstColumn="1" w:lastColumn="0" w:noHBand="0" w:noVBand="1"/>
      </w:tblPr>
      <w:tblGrid>
        <w:gridCol w:w="5246"/>
      </w:tblGrid>
      <w:tr w:rsidR="00B5780B" w:rsidTr="00B5780B">
        <w:tc>
          <w:tcPr>
            <w:tcW w:w="5246" w:type="dxa"/>
          </w:tcPr>
          <w:p w:rsidR="00B5780B" w:rsidRPr="00CB16AA" w:rsidRDefault="00CB16AA" w:rsidP="00B5780B">
            <w:pPr>
              <w:rPr>
                <w:rFonts w:ascii="Calibri" w:hAnsi="Calibri" w:cs="Calibri"/>
                <w:i/>
                <w:sz w:val="18"/>
                <w:szCs w:val="18"/>
              </w:rPr>
            </w:pPr>
            <w:r>
              <w:rPr>
                <w:rFonts w:ascii="Calibri" w:hAnsi="Calibri" w:cs="Calibri"/>
                <w:b/>
                <w:sz w:val="28"/>
                <w:szCs w:val="28"/>
              </w:rPr>
              <w:t>*</w:t>
            </w:r>
            <w:r w:rsidR="00B5780B">
              <w:rPr>
                <w:rFonts w:ascii="Calibri" w:hAnsi="Calibri" w:cs="Calibri"/>
                <w:b/>
                <w:sz w:val="28"/>
                <w:szCs w:val="28"/>
              </w:rPr>
              <w:t>Gluten and Your Gut’s Good Health</w:t>
            </w:r>
            <w:r w:rsidR="00B5780B" w:rsidRPr="00CB16AA">
              <w:rPr>
                <w:rFonts w:ascii="Calibri" w:hAnsi="Calibri" w:cs="Calibri"/>
                <w:b/>
                <w:sz w:val="18"/>
                <w:szCs w:val="18"/>
              </w:rPr>
              <w:t>-</w:t>
            </w:r>
            <w:r w:rsidR="00B5780B" w:rsidRPr="00CB16AA">
              <w:rPr>
                <w:rFonts w:ascii="Calibri" w:hAnsi="Calibri" w:cs="Calibri"/>
                <w:i/>
                <w:sz w:val="18"/>
                <w:szCs w:val="18"/>
              </w:rPr>
              <w:t>Sandy Procter and Katelyn Dixon (KSU undergraduate student in nutrition sciences)</w:t>
            </w:r>
          </w:p>
          <w:p w:rsidR="00B5780B" w:rsidRPr="0037204B" w:rsidRDefault="00B5780B" w:rsidP="00B5780B">
            <w:pPr>
              <w:rPr>
                <w:rFonts w:ascii="Calibri" w:hAnsi="Calibri" w:cs="Calibri"/>
                <w:b/>
                <w:i/>
                <w:sz w:val="20"/>
                <w:szCs w:val="20"/>
              </w:rPr>
            </w:pPr>
          </w:p>
          <w:p w:rsidR="00B5780B" w:rsidRPr="00CB16AA" w:rsidRDefault="00B5780B" w:rsidP="00B5780B">
            <w:pPr>
              <w:rPr>
                <w:rFonts w:ascii="Calibri" w:hAnsi="Calibri" w:cs="Calibri"/>
                <w:sz w:val="20"/>
                <w:szCs w:val="20"/>
              </w:rPr>
            </w:pPr>
            <w:r w:rsidRPr="00CB16AA">
              <w:rPr>
                <w:rFonts w:ascii="Calibri" w:hAnsi="Calibri" w:cs="Calibri"/>
                <w:sz w:val="20"/>
                <w:szCs w:val="20"/>
              </w:rPr>
              <w:t>This lesson will address the need for exclusion of gluten from some people’s diets, and the research-based health benefits of avoiding this grain-based protein for those with specific conditions. The nutritional consequences of this restrictive diet will be discussed.</w:t>
            </w:r>
          </w:p>
          <w:p w:rsidR="00B5780B" w:rsidRPr="00CB16AA" w:rsidRDefault="00B5780B" w:rsidP="00B5780B">
            <w:pPr>
              <w:rPr>
                <w:rFonts w:ascii="Calibri" w:hAnsi="Calibri" w:cs="Calibri"/>
                <w:sz w:val="20"/>
                <w:szCs w:val="20"/>
              </w:rPr>
            </w:pPr>
          </w:p>
          <w:p w:rsidR="00B5780B" w:rsidRDefault="00B5780B" w:rsidP="00CB16AA">
            <w:pPr>
              <w:rPr>
                <w:rFonts w:ascii="Calibri" w:hAnsi="Calibri" w:cs="Calibri"/>
                <w:b/>
                <w:sz w:val="28"/>
                <w:szCs w:val="28"/>
              </w:rPr>
            </w:pPr>
            <w:r w:rsidRPr="00CB16AA">
              <w:rPr>
                <w:rFonts w:ascii="Calibri" w:hAnsi="Calibri" w:cs="Calibri"/>
                <w:sz w:val="20"/>
                <w:szCs w:val="20"/>
              </w:rPr>
              <w:t>Additionally, authors will share current evidence of why gluten is not the ideal solution for many of today’s current diet questions.</w:t>
            </w:r>
          </w:p>
        </w:tc>
      </w:tr>
    </w:tbl>
    <w:p w:rsidR="00B5780B" w:rsidRDefault="00B5780B" w:rsidP="00B127BE">
      <w:pPr>
        <w:spacing w:after="0" w:line="240" w:lineRule="auto"/>
        <w:rPr>
          <w:rFonts w:ascii="Calibri" w:hAnsi="Calibri" w:cs="Calibri"/>
          <w:b/>
          <w:sz w:val="28"/>
          <w:szCs w:val="28"/>
        </w:rPr>
      </w:pPr>
    </w:p>
    <w:tbl>
      <w:tblPr>
        <w:tblStyle w:val="TableGrid"/>
        <w:tblW w:w="0" w:type="auto"/>
        <w:tblLook w:val="04A0" w:firstRow="1" w:lastRow="0" w:firstColumn="1" w:lastColumn="0" w:noHBand="0" w:noVBand="1"/>
      </w:tblPr>
      <w:tblGrid>
        <w:gridCol w:w="5246"/>
      </w:tblGrid>
      <w:tr w:rsidR="00B5780B" w:rsidTr="00B5780B">
        <w:tc>
          <w:tcPr>
            <w:tcW w:w="5246" w:type="dxa"/>
          </w:tcPr>
          <w:p w:rsidR="00B5780B" w:rsidRPr="00CB16AA" w:rsidRDefault="00CB16AA" w:rsidP="00B5780B">
            <w:pPr>
              <w:rPr>
                <w:rFonts w:ascii="Calibri" w:hAnsi="Calibri" w:cs="Calibri"/>
                <w:i/>
                <w:sz w:val="18"/>
                <w:szCs w:val="18"/>
              </w:rPr>
            </w:pPr>
            <w:r>
              <w:rPr>
                <w:rFonts w:ascii="Calibri" w:hAnsi="Calibri" w:cs="Calibri"/>
                <w:b/>
                <w:sz w:val="28"/>
                <w:szCs w:val="28"/>
              </w:rPr>
              <w:t>*</w:t>
            </w:r>
            <w:r w:rsidR="00F26C2F">
              <w:rPr>
                <w:rFonts w:ascii="Calibri" w:hAnsi="Calibri" w:cs="Calibri"/>
                <w:b/>
                <w:sz w:val="28"/>
                <w:szCs w:val="28"/>
              </w:rPr>
              <w:t>Improving Relationships A</w:t>
            </w:r>
            <w:r w:rsidR="00B5780B">
              <w:rPr>
                <w:rFonts w:ascii="Calibri" w:hAnsi="Calibri" w:cs="Calibri"/>
                <w:b/>
                <w:sz w:val="28"/>
                <w:szCs w:val="28"/>
              </w:rPr>
              <w:t xml:space="preserve">nd Communication </w:t>
            </w:r>
            <w:r w:rsidR="00F26C2F">
              <w:rPr>
                <w:rFonts w:ascii="Calibri" w:hAnsi="Calibri" w:cs="Calibri"/>
                <w:b/>
                <w:sz w:val="28"/>
                <w:szCs w:val="28"/>
              </w:rPr>
              <w:t>T</w:t>
            </w:r>
            <w:r w:rsidR="00B5780B">
              <w:rPr>
                <w:rFonts w:ascii="Calibri" w:hAnsi="Calibri" w:cs="Calibri"/>
                <w:b/>
                <w:sz w:val="28"/>
                <w:szCs w:val="28"/>
              </w:rPr>
              <w:t>hrough Understanding One Another</w:t>
            </w:r>
            <w:r w:rsidR="00B5780B" w:rsidRPr="00A26CB2">
              <w:rPr>
                <w:rFonts w:ascii="Calibri" w:hAnsi="Calibri" w:cs="Calibri"/>
                <w:b/>
                <w:sz w:val="20"/>
                <w:szCs w:val="20"/>
              </w:rPr>
              <w:t xml:space="preserve">- </w:t>
            </w:r>
            <w:r w:rsidR="00B5780B" w:rsidRPr="00CB16AA">
              <w:rPr>
                <w:rFonts w:ascii="Calibri" w:hAnsi="Calibri" w:cs="Calibri"/>
                <w:i/>
                <w:sz w:val="18"/>
                <w:szCs w:val="18"/>
              </w:rPr>
              <w:t>Debra Bolton, Area Specialist, Southwest Area Extension Office</w:t>
            </w:r>
          </w:p>
          <w:p w:rsidR="00B5780B" w:rsidRPr="0037204B" w:rsidRDefault="00B5780B" w:rsidP="00B5780B">
            <w:pPr>
              <w:rPr>
                <w:rFonts w:ascii="Calibri" w:hAnsi="Calibri" w:cs="Calibri"/>
                <w:i/>
              </w:rPr>
            </w:pPr>
          </w:p>
          <w:p w:rsidR="00B5780B" w:rsidRPr="00CB16AA" w:rsidRDefault="00B5780B" w:rsidP="00B5780B">
            <w:pPr>
              <w:rPr>
                <w:sz w:val="20"/>
                <w:szCs w:val="20"/>
              </w:rPr>
            </w:pPr>
            <w:r w:rsidRPr="00CB16AA">
              <w:rPr>
                <w:sz w:val="20"/>
                <w:szCs w:val="20"/>
              </w:rPr>
              <w:t xml:space="preserve">Research and best practice suggest some preliminary actions for reaching families, audiences, or individuals not living in mainstream cultures.  Primarily, there must be an understanding of one’s own cultural patterns and personal biases.  This lesson helps participants to begin the steps toward comprehension of other cultural customs and paves the way for cross-cultural communication.  Cross-cultural communication leads to building and/or strengthening relationships.  </w:t>
            </w:r>
          </w:p>
          <w:p w:rsidR="00B5780B" w:rsidRPr="00CB16AA" w:rsidRDefault="00B5780B" w:rsidP="00B5780B">
            <w:pPr>
              <w:rPr>
                <w:rFonts w:cstheme="minorHAnsi"/>
                <w:sz w:val="20"/>
                <w:szCs w:val="20"/>
              </w:rPr>
            </w:pPr>
          </w:p>
          <w:p w:rsidR="00B5780B" w:rsidRPr="00CB16AA" w:rsidRDefault="00B5780B" w:rsidP="00B5780B">
            <w:pPr>
              <w:rPr>
                <w:rFonts w:cstheme="minorHAnsi"/>
                <w:sz w:val="20"/>
                <w:szCs w:val="20"/>
              </w:rPr>
            </w:pPr>
            <w:r w:rsidRPr="00CB16AA">
              <w:rPr>
                <w:rFonts w:cstheme="minorHAnsi"/>
                <w:sz w:val="20"/>
                <w:szCs w:val="20"/>
              </w:rPr>
              <w:t>The goals of this facilitated lesson/activity are to:</w:t>
            </w:r>
          </w:p>
          <w:p w:rsidR="00B5780B" w:rsidRPr="00CB16AA" w:rsidRDefault="00B5780B" w:rsidP="00B5780B">
            <w:pPr>
              <w:rPr>
                <w:rFonts w:cstheme="minorHAnsi"/>
                <w:sz w:val="20"/>
                <w:szCs w:val="20"/>
              </w:rPr>
            </w:pPr>
          </w:p>
          <w:p w:rsidR="00B5780B" w:rsidRPr="00CB16AA" w:rsidRDefault="00B5780B" w:rsidP="00B5780B">
            <w:pPr>
              <w:pStyle w:val="ListParagraph"/>
              <w:numPr>
                <w:ilvl w:val="0"/>
                <w:numId w:val="1"/>
              </w:numPr>
              <w:spacing w:after="0" w:line="240" w:lineRule="auto"/>
              <w:ind w:left="360"/>
              <w:rPr>
                <w:rFonts w:asciiTheme="minorHAnsi" w:hAnsiTheme="minorHAnsi" w:cstheme="minorHAnsi"/>
                <w:sz w:val="20"/>
                <w:szCs w:val="20"/>
              </w:rPr>
            </w:pPr>
            <w:r w:rsidRPr="00CB16AA">
              <w:rPr>
                <w:rFonts w:asciiTheme="minorHAnsi" w:hAnsiTheme="minorHAnsi" w:cstheme="minorHAnsi"/>
                <w:sz w:val="20"/>
                <w:szCs w:val="20"/>
              </w:rPr>
              <w:t>Clearly define cultural patterns</w:t>
            </w:r>
          </w:p>
          <w:p w:rsidR="00B5780B" w:rsidRPr="00CB16AA" w:rsidRDefault="00B5780B" w:rsidP="00B5780B">
            <w:pPr>
              <w:pStyle w:val="ListParagraph"/>
              <w:numPr>
                <w:ilvl w:val="0"/>
                <w:numId w:val="1"/>
              </w:numPr>
              <w:spacing w:after="0" w:line="240" w:lineRule="auto"/>
              <w:ind w:left="360"/>
              <w:rPr>
                <w:rFonts w:asciiTheme="minorHAnsi" w:hAnsiTheme="minorHAnsi" w:cstheme="minorHAnsi"/>
                <w:sz w:val="20"/>
                <w:szCs w:val="20"/>
              </w:rPr>
            </w:pPr>
            <w:r w:rsidRPr="00CB16AA">
              <w:rPr>
                <w:rFonts w:asciiTheme="minorHAnsi" w:hAnsiTheme="minorHAnsi" w:cstheme="minorHAnsi"/>
                <w:sz w:val="20"/>
                <w:szCs w:val="20"/>
              </w:rPr>
              <w:t xml:space="preserve">Help participants learn how cultural patterns can impede communication processes, and </w:t>
            </w:r>
          </w:p>
          <w:p w:rsidR="00B5780B" w:rsidRPr="00CB16AA" w:rsidRDefault="00B5780B" w:rsidP="00B5780B">
            <w:pPr>
              <w:pStyle w:val="ListParagraph"/>
              <w:numPr>
                <w:ilvl w:val="0"/>
                <w:numId w:val="1"/>
              </w:numPr>
              <w:spacing w:after="0" w:line="240" w:lineRule="auto"/>
              <w:ind w:left="360"/>
              <w:rPr>
                <w:rFonts w:asciiTheme="minorHAnsi" w:hAnsiTheme="minorHAnsi" w:cstheme="minorHAnsi"/>
                <w:sz w:val="20"/>
                <w:szCs w:val="20"/>
              </w:rPr>
            </w:pPr>
            <w:r w:rsidRPr="00CB16AA">
              <w:rPr>
                <w:rFonts w:asciiTheme="minorHAnsi" w:hAnsiTheme="minorHAnsi" w:cstheme="minorHAnsi"/>
                <w:sz w:val="20"/>
                <w:szCs w:val="20"/>
              </w:rPr>
              <w:t>Introduce ways to improve comfort levels in building cross-cultural relationships</w:t>
            </w:r>
            <w:r w:rsidR="00CE7759">
              <w:rPr>
                <w:rFonts w:asciiTheme="minorHAnsi" w:hAnsiTheme="minorHAnsi" w:cstheme="minorHAnsi"/>
                <w:sz w:val="20"/>
                <w:szCs w:val="20"/>
              </w:rPr>
              <w:br/>
            </w:r>
            <w:bookmarkStart w:id="0" w:name="_GoBack"/>
            <w:bookmarkEnd w:id="0"/>
          </w:p>
          <w:p w:rsidR="00B5780B" w:rsidRPr="00CB16AA" w:rsidRDefault="00B5780B" w:rsidP="00B5780B">
            <w:pPr>
              <w:rPr>
                <w:rFonts w:cstheme="minorHAnsi"/>
                <w:sz w:val="20"/>
                <w:szCs w:val="20"/>
              </w:rPr>
            </w:pPr>
          </w:p>
          <w:p w:rsidR="00B5780B" w:rsidRPr="00CB16AA" w:rsidRDefault="00B5780B" w:rsidP="00B5780B">
            <w:pPr>
              <w:rPr>
                <w:rFonts w:cstheme="minorHAnsi"/>
                <w:sz w:val="20"/>
                <w:szCs w:val="20"/>
              </w:rPr>
            </w:pPr>
            <w:r w:rsidRPr="00CB16AA">
              <w:rPr>
                <w:rFonts w:cstheme="minorHAnsi"/>
                <w:sz w:val="20"/>
                <w:szCs w:val="20"/>
              </w:rPr>
              <w:lastRenderedPageBreak/>
              <w:t xml:space="preserve">Participants will begin to understand the concepts related to cultural patterns, social interactions, clear communications, and personal biases.  </w:t>
            </w:r>
          </w:p>
          <w:p w:rsidR="00B5780B" w:rsidRPr="00220235" w:rsidRDefault="00B5780B" w:rsidP="00B5780B">
            <w:pPr>
              <w:ind w:left="360"/>
              <w:rPr>
                <w:rFonts w:cstheme="minorHAnsi"/>
              </w:rPr>
            </w:pPr>
          </w:p>
          <w:p w:rsidR="00B5780B" w:rsidRPr="00CB16AA" w:rsidRDefault="00B5780B" w:rsidP="00B5780B">
            <w:pPr>
              <w:rPr>
                <w:rFonts w:ascii="Calibri" w:hAnsi="Calibri" w:cs="Calibri"/>
                <w:b/>
                <w:sz w:val="20"/>
                <w:szCs w:val="20"/>
              </w:rPr>
            </w:pPr>
            <w:r w:rsidRPr="00CB16AA">
              <w:rPr>
                <w:rFonts w:cstheme="minorHAnsi"/>
                <w:sz w:val="20"/>
                <w:szCs w:val="20"/>
              </w:rPr>
              <w:t xml:space="preserve">Hopefully there will be an understanding that there is no “right or wrong” in cultural difference.  Rather, we look for understanding of what makes and why there </w:t>
            </w:r>
            <w:r w:rsidRPr="00CB16AA">
              <w:rPr>
                <w:rFonts w:cstheme="minorHAnsi"/>
                <w:i/>
                <w:sz w:val="20"/>
                <w:szCs w:val="20"/>
              </w:rPr>
              <w:t>is</w:t>
            </w:r>
            <w:r w:rsidRPr="00CB16AA">
              <w:rPr>
                <w:rFonts w:cstheme="minorHAnsi"/>
                <w:sz w:val="20"/>
                <w:szCs w:val="20"/>
              </w:rPr>
              <w:t xml:space="preserve"> difference.  Then we look for similarities as a foundation on which to build relationships and/or to begin a dialogue with those that come from a different cultural backgrounds from our own. </w:t>
            </w:r>
          </w:p>
        </w:tc>
      </w:tr>
    </w:tbl>
    <w:p w:rsidR="00B127BE" w:rsidRDefault="00B127BE" w:rsidP="00B127BE">
      <w:pPr>
        <w:spacing w:after="0" w:line="240" w:lineRule="auto"/>
        <w:rPr>
          <w:rFonts w:ascii="Calibri" w:hAnsi="Calibri" w:cs="Calibri"/>
          <w:b/>
          <w:sz w:val="28"/>
          <w:szCs w:val="28"/>
        </w:rPr>
      </w:pPr>
    </w:p>
    <w:tbl>
      <w:tblPr>
        <w:tblStyle w:val="TableGrid"/>
        <w:tblW w:w="0" w:type="auto"/>
        <w:tblLook w:val="04A0" w:firstRow="1" w:lastRow="0" w:firstColumn="1" w:lastColumn="0" w:noHBand="0" w:noVBand="1"/>
      </w:tblPr>
      <w:tblGrid>
        <w:gridCol w:w="5246"/>
      </w:tblGrid>
      <w:tr w:rsidR="00B5780B" w:rsidTr="00B5780B">
        <w:tc>
          <w:tcPr>
            <w:tcW w:w="5246" w:type="dxa"/>
          </w:tcPr>
          <w:p w:rsidR="00B5780B" w:rsidRPr="00CB16AA" w:rsidRDefault="00CB16AA" w:rsidP="00B5780B">
            <w:pPr>
              <w:rPr>
                <w:rFonts w:ascii="Calibri" w:hAnsi="Calibri" w:cs="Calibri"/>
                <w:b/>
                <w:i/>
                <w:sz w:val="18"/>
                <w:szCs w:val="18"/>
              </w:rPr>
            </w:pPr>
            <w:r>
              <w:rPr>
                <w:rFonts w:ascii="Calibri" w:hAnsi="Calibri" w:cs="Calibri"/>
                <w:b/>
                <w:sz w:val="28"/>
                <w:szCs w:val="28"/>
              </w:rPr>
              <w:t>*</w:t>
            </w:r>
            <w:r w:rsidR="00CE7759">
              <w:rPr>
                <w:rFonts w:ascii="Calibri" w:hAnsi="Calibri" w:cs="Calibri"/>
                <w:b/>
                <w:sz w:val="28"/>
                <w:szCs w:val="28"/>
              </w:rPr>
              <w:t>Volunteer</w:t>
            </w:r>
            <w:r w:rsidR="00B5780B">
              <w:rPr>
                <w:rFonts w:ascii="Calibri" w:hAnsi="Calibri" w:cs="Calibri"/>
                <w:b/>
                <w:sz w:val="28"/>
                <w:szCs w:val="28"/>
              </w:rPr>
              <w:t xml:space="preserve"> Quantity Cooking S</w:t>
            </w:r>
            <w:r w:rsidR="00B5780B" w:rsidRPr="008973D4">
              <w:rPr>
                <w:rFonts w:ascii="Calibri" w:hAnsi="Calibri" w:cs="Calibri"/>
                <w:b/>
                <w:sz w:val="28"/>
                <w:szCs w:val="28"/>
              </w:rPr>
              <w:t>afety</w:t>
            </w:r>
            <w:r w:rsidR="00B5780B">
              <w:rPr>
                <w:rFonts w:ascii="Calibri" w:hAnsi="Calibri" w:cs="Calibri"/>
                <w:sz w:val="28"/>
                <w:szCs w:val="28"/>
              </w:rPr>
              <w:t xml:space="preserve"> - </w:t>
            </w:r>
            <w:r w:rsidR="00B5780B" w:rsidRPr="00CB16AA">
              <w:rPr>
                <w:rFonts w:ascii="Calibri" w:hAnsi="Calibri" w:cs="Calibri"/>
                <w:i/>
                <w:sz w:val="18"/>
                <w:szCs w:val="18"/>
              </w:rPr>
              <w:t>Londa Nwadike, Extension Specialist, Food Safety</w:t>
            </w:r>
          </w:p>
          <w:p w:rsidR="00B5780B" w:rsidRPr="00CB16AA" w:rsidRDefault="00B5780B" w:rsidP="00B5780B">
            <w:pPr>
              <w:rPr>
                <w:rFonts w:ascii="Calibri" w:hAnsi="Calibri" w:cs="Calibri"/>
                <w:b/>
                <w:sz w:val="18"/>
                <w:szCs w:val="18"/>
              </w:rPr>
            </w:pPr>
          </w:p>
          <w:p w:rsidR="00B5780B" w:rsidRPr="00CB16AA" w:rsidRDefault="00B5780B" w:rsidP="00B5780B">
            <w:pPr>
              <w:rPr>
                <w:rFonts w:ascii="Calibri" w:hAnsi="Calibri" w:cs="Calibri"/>
                <w:sz w:val="20"/>
                <w:szCs w:val="20"/>
              </w:rPr>
            </w:pPr>
            <w:r w:rsidRPr="00CB16AA">
              <w:rPr>
                <w:rFonts w:ascii="Calibri" w:hAnsi="Calibri" w:cs="Calibri"/>
                <w:sz w:val="20"/>
                <w:szCs w:val="20"/>
              </w:rPr>
              <w:t xml:space="preserve">This lesson will help volunteer cooks, non-profit organizations, and others who only occasionally cook for crowds to be able to prepare food safely. Many groups such as 4-H clubs, churches, schools, and other similar entities put on fundraising dinners, concession stand booths, community meals, funeral meals or similar type of events, generally with very little regulatory oversight.  Because these organizations may not be accustomed to cooking in such large quantities and may not necessarily have the proper equipment, serious food safety problems can occur if proper practices are not followed. </w:t>
            </w:r>
          </w:p>
          <w:p w:rsidR="00B5780B" w:rsidRPr="00CB16AA" w:rsidRDefault="00B5780B" w:rsidP="00B5780B">
            <w:pPr>
              <w:rPr>
                <w:rFonts w:ascii="Calibri" w:hAnsi="Calibri" w:cs="Calibri"/>
                <w:sz w:val="20"/>
                <w:szCs w:val="20"/>
              </w:rPr>
            </w:pPr>
          </w:p>
          <w:p w:rsidR="00B5780B" w:rsidRDefault="00B5780B" w:rsidP="00B5780B">
            <w:pPr>
              <w:rPr>
                <w:rFonts w:ascii="Calibri" w:hAnsi="Calibri" w:cs="Calibri"/>
                <w:b/>
                <w:sz w:val="28"/>
                <w:szCs w:val="28"/>
              </w:rPr>
            </w:pPr>
            <w:r w:rsidRPr="00CB16AA">
              <w:rPr>
                <w:rFonts w:ascii="Calibri" w:hAnsi="Calibri" w:cs="Calibri"/>
                <w:sz w:val="20"/>
                <w:szCs w:val="20"/>
              </w:rPr>
              <w:t xml:space="preserve">This lesson will update information from a previous KSRE publication which was last revised in 2010: </w:t>
            </w:r>
            <w:hyperlink r:id="rId5" w:history="1">
              <w:r w:rsidRPr="00CB16AA">
                <w:rPr>
                  <w:rStyle w:val="Hyperlink"/>
                  <w:rFonts w:ascii="Calibri" w:hAnsi="Calibri" w:cs="Calibri"/>
                  <w:sz w:val="20"/>
                  <w:szCs w:val="20"/>
                </w:rPr>
                <w:t>http://www.ksre.ksu.edu/bookstore/pubs/mf1078.pdf</w:t>
              </w:r>
            </w:hyperlink>
            <w:r w:rsidRPr="00B127BE">
              <w:rPr>
                <w:rFonts w:ascii="Calibri" w:hAnsi="Calibri" w:cs="Calibri"/>
              </w:rPr>
              <w:t xml:space="preserve"> </w:t>
            </w:r>
          </w:p>
        </w:tc>
      </w:tr>
    </w:tbl>
    <w:p w:rsidR="00B5780B" w:rsidRDefault="00B5780B" w:rsidP="00B127BE">
      <w:pPr>
        <w:spacing w:after="0" w:line="240" w:lineRule="auto"/>
        <w:rPr>
          <w:rFonts w:ascii="Calibri" w:hAnsi="Calibri" w:cs="Calibri"/>
          <w:b/>
          <w:sz w:val="28"/>
          <w:szCs w:val="28"/>
        </w:rPr>
      </w:pPr>
    </w:p>
    <w:tbl>
      <w:tblPr>
        <w:tblStyle w:val="TableGrid"/>
        <w:tblW w:w="0" w:type="auto"/>
        <w:tblLook w:val="04A0" w:firstRow="1" w:lastRow="0" w:firstColumn="1" w:lastColumn="0" w:noHBand="0" w:noVBand="1"/>
      </w:tblPr>
      <w:tblGrid>
        <w:gridCol w:w="5246"/>
      </w:tblGrid>
      <w:tr w:rsidR="00B5780B" w:rsidRPr="00CB16AA" w:rsidTr="00B5780B">
        <w:tc>
          <w:tcPr>
            <w:tcW w:w="5246" w:type="dxa"/>
          </w:tcPr>
          <w:p w:rsidR="00B5780B" w:rsidRPr="00CB16AA" w:rsidRDefault="00B5780B" w:rsidP="00B5780B">
            <w:pPr>
              <w:rPr>
                <w:rFonts w:ascii="Calibri" w:hAnsi="Calibri" w:cs="Calibri"/>
                <w:i/>
                <w:sz w:val="20"/>
                <w:szCs w:val="20"/>
              </w:rPr>
            </w:pPr>
            <w:r w:rsidRPr="00CB16AA">
              <w:rPr>
                <w:rFonts w:ascii="Calibri" w:hAnsi="Calibri" w:cs="Calibri"/>
                <w:b/>
                <w:sz w:val="28"/>
                <w:szCs w:val="28"/>
              </w:rPr>
              <w:t>Simple</w:t>
            </w:r>
            <w:r w:rsidR="00CE7759">
              <w:rPr>
                <w:rFonts w:ascii="Calibri" w:hAnsi="Calibri" w:cs="Calibri"/>
                <w:b/>
                <w:sz w:val="28"/>
                <w:szCs w:val="28"/>
              </w:rPr>
              <w:t xml:space="preserve"> Seasonal Meals</w:t>
            </w:r>
            <w:r w:rsidRPr="00CB16AA">
              <w:rPr>
                <w:rFonts w:ascii="Calibri" w:hAnsi="Calibri" w:cs="Calibri"/>
                <w:b/>
                <w:sz w:val="20"/>
                <w:szCs w:val="20"/>
              </w:rPr>
              <w:t xml:space="preserve"> - </w:t>
            </w:r>
            <w:r w:rsidRPr="00CB16AA">
              <w:rPr>
                <w:rFonts w:ascii="Calibri" w:hAnsi="Calibri" w:cs="Calibri"/>
                <w:i/>
                <w:sz w:val="20"/>
                <w:szCs w:val="20"/>
              </w:rPr>
              <w:t>Donna Krug, Barton County, Family &amp; Consumer Science Agent</w:t>
            </w:r>
          </w:p>
          <w:p w:rsidR="00B5780B" w:rsidRPr="00CB16AA" w:rsidRDefault="00B5780B" w:rsidP="00B5780B">
            <w:pPr>
              <w:rPr>
                <w:rFonts w:ascii="Calibri" w:hAnsi="Calibri" w:cs="Calibri"/>
                <w:sz w:val="20"/>
                <w:szCs w:val="20"/>
              </w:rPr>
            </w:pPr>
          </w:p>
          <w:p w:rsidR="00B5780B" w:rsidRPr="00CB16AA" w:rsidRDefault="00B5780B" w:rsidP="00B5780B">
            <w:pPr>
              <w:rPr>
                <w:rFonts w:ascii="Calibri" w:hAnsi="Calibri" w:cs="Calibri"/>
                <w:sz w:val="20"/>
                <w:szCs w:val="20"/>
              </w:rPr>
            </w:pPr>
            <w:r w:rsidRPr="00CB16AA">
              <w:rPr>
                <w:rFonts w:ascii="Calibri" w:hAnsi="Calibri" w:cs="Calibri"/>
                <w:sz w:val="20"/>
                <w:szCs w:val="20"/>
              </w:rPr>
              <w:t xml:space="preserve">The benefits of harvesting and eating produce when at its peak are many. The color, flavor, texture, and nutritional value increase when produce is in season.  Today the average food item travels more than a thousand miles before it lands on our tables. This fact creates a challenge for families who want to eat more locally grown food. </w:t>
            </w:r>
          </w:p>
          <w:p w:rsidR="00B5780B" w:rsidRPr="00CB16AA" w:rsidRDefault="00B5780B" w:rsidP="00B5780B">
            <w:pPr>
              <w:rPr>
                <w:rFonts w:ascii="Calibri" w:hAnsi="Calibri" w:cs="Calibri"/>
                <w:sz w:val="20"/>
                <w:szCs w:val="20"/>
              </w:rPr>
            </w:pPr>
          </w:p>
          <w:p w:rsidR="00B5780B" w:rsidRPr="00CB16AA" w:rsidRDefault="00B5780B" w:rsidP="00B5780B">
            <w:pPr>
              <w:rPr>
                <w:rFonts w:ascii="Cambria" w:hAnsi="Cambria"/>
                <w:sz w:val="20"/>
                <w:szCs w:val="20"/>
              </w:rPr>
            </w:pPr>
            <w:r w:rsidRPr="00CB16AA">
              <w:rPr>
                <w:rFonts w:ascii="Calibri" w:hAnsi="Calibri" w:cs="Calibri"/>
                <w:sz w:val="20"/>
                <w:szCs w:val="20"/>
              </w:rPr>
              <w:t>There is something valuable in growing and preparing your own food in the fast paced world we live in. Whether you get your fresh produce at the farmer’s market, from a Community Supported Agriculture (CSA), or the local grocery store, or your own garden, you can enjoy the wholesome goodness of fresh fruits and vegetables. This educational fact sheet will include recipe selections for the four seasons. By choosing fruits and vegetables in season you get all the benefits – food that tastes good, is good for you and is more reasonably priced.</w:t>
            </w:r>
          </w:p>
        </w:tc>
      </w:tr>
    </w:tbl>
    <w:p w:rsidR="0037204B" w:rsidRDefault="0037204B" w:rsidP="00B127BE">
      <w:pPr>
        <w:spacing w:after="0" w:line="240" w:lineRule="auto"/>
        <w:rPr>
          <w:rFonts w:ascii="Cambria" w:hAnsi="Cambria"/>
          <w:sz w:val="20"/>
          <w:szCs w:val="20"/>
        </w:rPr>
      </w:pPr>
    </w:p>
    <w:p w:rsidR="00B5780B" w:rsidRPr="00FE4438" w:rsidRDefault="00B5780B" w:rsidP="00B127BE">
      <w:pPr>
        <w:spacing w:after="0" w:line="240" w:lineRule="auto"/>
        <w:rPr>
          <w:rFonts w:ascii="Cambria" w:hAnsi="Cambria"/>
          <w:sz w:val="20"/>
          <w:szCs w:val="20"/>
        </w:rPr>
      </w:pPr>
    </w:p>
    <w:tbl>
      <w:tblPr>
        <w:tblStyle w:val="TableGrid"/>
        <w:tblW w:w="0" w:type="auto"/>
        <w:tblLook w:val="04A0" w:firstRow="1" w:lastRow="0" w:firstColumn="1" w:lastColumn="0" w:noHBand="0" w:noVBand="1"/>
      </w:tblPr>
      <w:tblGrid>
        <w:gridCol w:w="5246"/>
      </w:tblGrid>
      <w:tr w:rsidR="00B5780B" w:rsidTr="00B5780B">
        <w:tc>
          <w:tcPr>
            <w:tcW w:w="5246" w:type="dxa"/>
          </w:tcPr>
          <w:p w:rsidR="00B5780B" w:rsidRPr="00CB16AA" w:rsidRDefault="00111D5F" w:rsidP="00B5780B">
            <w:pPr>
              <w:rPr>
                <w:rFonts w:ascii="Calibri" w:hAnsi="Calibri" w:cs="Calibri"/>
                <w:i/>
                <w:sz w:val="18"/>
                <w:szCs w:val="18"/>
              </w:rPr>
            </w:pPr>
            <w:r>
              <w:rPr>
                <w:rFonts w:ascii="Calibri" w:hAnsi="Calibri" w:cs="Calibri"/>
                <w:b/>
                <w:sz w:val="28"/>
                <w:szCs w:val="28"/>
              </w:rPr>
              <w:t>+</w:t>
            </w:r>
            <w:r w:rsidR="00B5780B" w:rsidRPr="0037204B">
              <w:rPr>
                <w:rFonts w:ascii="Calibri" w:hAnsi="Calibri" w:cs="Calibri"/>
                <w:b/>
                <w:sz w:val="28"/>
                <w:szCs w:val="28"/>
              </w:rPr>
              <w:t>Your Feelings, My Decision, Our Actions:  Pro</w:t>
            </w:r>
            <w:r w:rsidR="00F26C2F">
              <w:rPr>
                <w:rFonts w:ascii="Calibri" w:hAnsi="Calibri" w:cs="Calibri"/>
                <w:b/>
                <w:sz w:val="28"/>
                <w:szCs w:val="28"/>
              </w:rPr>
              <w:t>moting Social Emotional Health Among School-A</w:t>
            </w:r>
            <w:r w:rsidR="00B5780B" w:rsidRPr="0037204B">
              <w:rPr>
                <w:rFonts w:ascii="Calibri" w:hAnsi="Calibri" w:cs="Calibri"/>
                <w:b/>
                <w:sz w:val="28"/>
                <w:szCs w:val="28"/>
              </w:rPr>
              <w:t>ge Youth and Their Families</w:t>
            </w:r>
            <w:r w:rsidR="00B5780B">
              <w:rPr>
                <w:rFonts w:ascii="Calibri" w:hAnsi="Calibri" w:cs="Calibri"/>
                <w:b/>
                <w:i/>
              </w:rPr>
              <w:t xml:space="preserve"> - </w:t>
            </w:r>
            <w:r w:rsidR="00B5780B" w:rsidRPr="00CB16AA">
              <w:rPr>
                <w:rFonts w:ascii="Calibri" w:hAnsi="Calibri" w:cs="Calibri"/>
                <w:i/>
                <w:sz w:val="18"/>
                <w:szCs w:val="18"/>
              </w:rPr>
              <w:t>Elaine Johannes, Extension Specialist, Youth Development and Nora Rhoades, Extension Agent, Post Rock District</w:t>
            </w:r>
          </w:p>
          <w:p w:rsidR="00B5780B" w:rsidRDefault="00B5780B" w:rsidP="00B5780B">
            <w:pPr>
              <w:rPr>
                <w:rFonts w:ascii="Calibri" w:hAnsi="Calibri" w:cs="Calibri"/>
              </w:rPr>
            </w:pPr>
          </w:p>
          <w:p w:rsidR="00B5780B" w:rsidRPr="00CB16AA" w:rsidRDefault="00B5780B" w:rsidP="00B5780B">
            <w:pPr>
              <w:rPr>
                <w:rFonts w:ascii="Calibri" w:hAnsi="Calibri" w:cs="Calibri"/>
                <w:sz w:val="20"/>
                <w:szCs w:val="20"/>
              </w:rPr>
            </w:pPr>
            <w:r w:rsidRPr="00CB16AA">
              <w:rPr>
                <w:rFonts w:ascii="Calibri" w:hAnsi="Calibri" w:cs="Calibri"/>
                <w:sz w:val="20"/>
                <w:szCs w:val="20"/>
              </w:rPr>
              <w:t>It’s a fact that children of any age can be taught how to cope with their emotions, to bounce back from problems, and to develop positive relationships – this is called ‘social and emotional learning’. It’s also a fact that social emotional skills are influenced most by the adults in the lives of children.  For school age children, those adults include club leaders, coaches, teachers as well as parents. This lesson will help</w:t>
            </w:r>
            <w:r w:rsidRPr="00CB16AA">
              <w:rPr>
                <w:rFonts w:ascii="Calibri" w:hAnsi="Calibri" w:cs="Calibri"/>
                <w:b/>
                <w:i/>
                <w:sz w:val="20"/>
                <w:szCs w:val="20"/>
              </w:rPr>
              <w:t xml:space="preserve"> </w:t>
            </w:r>
            <w:r w:rsidRPr="00CB16AA">
              <w:rPr>
                <w:rFonts w:ascii="Calibri" w:hAnsi="Calibri" w:cs="Calibri"/>
                <w:sz w:val="20"/>
                <w:szCs w:val="20"/>
              </w:rPr>
              <w:t xml:space="preserve">these and other adults learn how to promote the five core social emotional competencies in practical ways among youth during out-of-school time and/or in their families. </w:t>
            </w:r>
          </w:p>
          <w:p w:rsidR="00B5780B" w:rsidRPr="00CB16AA" w:rsidRDefault="00B5780B" w:rsidP="00B5780B">
            <w:pPr>
              <w:rPr>
                <w:rFonts w:ascii="Calibri" w:hAnsi="Calibri" w:cs="Calibri"/>
                <w:sz w:val="20"/>
                <w:szCs w:val="20"/>
              </w:rPr>
            </w:pPr>
          </w:p>
          <w:p w:rsidR="00B5780B" w:rsidRDefault="00B5780B" w:rsidP="00B5780B">
            <w:pPr>
              <w:rPr>
                <w:rFonts w:ascii="Calibri" w:hAnsi="Calibri" w:cs="Calibri"/>
                <w:b/>
                <w:sz w:val="28"/>
                <w:szCs w:val="28"/>
              </w:rPr>
            </w:pPr>
            <w:r w:rsidRPr="00CB16AA">
              <w:rPr>
                <w:rFonts w:ascii="Calibri" w:hAnsi="Calibri" w:cs="Calibri"/>
                <w:sz w:val="20"/>
                <w:szCs w:val="20"/>
              </w:rPr>
              <w:t xml:space="preserve">Learning social emotional competence helps young people navigate the social challenges they may face such as strained friendships and loneliness, bullying and family distress.  Adults and organizations, such as the Kansas Department of Education,  that support social emotional learning also contribute to improved problem solving and resilience, reduced social and emotional behavior problems and better socio-economic outcomes in adulthood. </w:t>
            </w:r>
          </w:p>
        </w:tc>
      </w:tr>
    </w:tbl>
    <w:p w:rsidR="00B5780B" w:rsidRDefault="00B5780B" w:rsidP="00B127BE">
      <w:pPr>
        <w:spacing w:after="0" w:line="240" w:lineRule="auto"/>
        <w:rPr>
          <w:rFonts w:ascii="Calibri" w:hAnsi="Calibri" w:cs="Calibri"/>
          <w:b/>
          <w:sz w:val="28"/>
          <w:szCs w:val="28"/>
        </w:rPr>
      </w:pPr>
    </w:p>
    <w:p w:rsidR="00204BE0" w:rsidRDefault="00204BE0" w:rsidP="00B127BE">
      <w:pPr>
        <w:spacing w:after="0" w:line="240" w:lineRule="auto"/>
        <w:rPr>
          <w:rFonts w:ascii="Calibri" w:hAnsi="Calibri" w:cs="Calibri"/>
        </w:rPr>
      </w:pPr>
    </w:p>
    <w:p w:rsidR="003B2228" w:rsidRPr="00B127BE" w:rsidRDefault="003B2228" w:rsidP="00B127BE">
      <w:pPr>
        <w:spacing w:after="0" w:line="240" w:lineRule="auto"/>
        <w:rPr>
          <w:rFonts w:ascii="Calibri" w:hAnsi="Calibri" w:cs="Calibri"/>
        </w:rPr>
      </w:pPr>
    </w:p>
    <w:p w:rsidR="0037204B" w:rsidRPr="005F5E0D" w:rsidRDefault="0037204B" w:rsidP="0037204B">
      <w:pPr>
        <w:rPr>
          <w:rFonts w:ascii="Calibri" w:hAnsi="Calibri" w:cs="Calibri"/>
          <w:b/>
          <w:sz w:val="28"/>
          <w:szCs w:val="28"/>
        </w:rPr>
      </w:pPr>
    </w:p>
    <w:p w:rsidR="0037204B" w:rsidRPr="005F5E0D" w:rsidRDefault="00CB16AA" w:rsidP="00111D5F">
      <w:pPr>
        <w:spacing w:after="0"/>
        <w:rPr>
          <w:rFonts w:ascii="Calibri" w:hAnsi="Calibri" w:cs="Calibri"/>
          <w:b/>
          <w:sz w:val="28"/>
          <w:szCs w:val="28"/>
        </w:rPr>
      </w:pPr>
      <w:r>
        <w:rPr>
          <w:rFonts w:ascii="Calibri" w:hAnsi="Calibri" w:cs="Calibri"/>
          <w:b/>
          <w:sz w:val="28"/>
          <w:szCs w:val="28"/>
        </w:rPr>
        <w:t>*FCE Lesson</w:t>
      </w:r>
    </w:p>
    <w:p w:rsidR="0037204B" w:rsidRPr="00111D5F" w:rsidRDefault="00111D5F" w:rsidP="00111D5F">
      <w:pPr>
        <w:spacing w:after="0"/>
        <w:rPr>
          <w:rFonts w:ascii="Calibri" w:hAnsi="Calibri" w:cs="Calibri"/>
          <w:b/>
          <w:sz w:val="28"/>
          <w:szCs w:val="28"/>
        </w:rPr>
      </w:pPr>
      <w:r w:rsidRPr="00111D5F">
        <w:rPr>
          <w:rFonts w:ascii="Calibri" w:hAnsi="Calibri" w:cs="Calibri"/>
          <w:b/>
          <w:sz w:val="28"/>
          <w:szCs w:val="28"/>
        </w:rPr>
        <w:t>+Alternate FCE Lesson</w:t>
      </w:r>
    </w:p>
    <w:p w:rsidR="00F16CB8" w:rsidRDefault="00F16CB8" w:rsidP="00F16CB8">
      <w:pPr>
        <w:rPr>
          <w:rFonts w:ascii="Calibri" w:hAnsi="Calibri" w:cs="Calibri"/>
          <w:sz w:val="28"/>
          <w:szCs w:val="28"/>
        </w:rPr>
      </w:pPr>
    </w:p>
    <w:p w:rsidR="00F16CB8" w:rsidRDefault="00F16CB8"/>
    <w:p w:rsidR="00F16CB8" w:rsidRDefault="00F16CB8"/>
    <w:p w:rsidR="00F16CB8" w:rsidRDefault="00F16CB8"/>
    <w:p w:rsidR="00F16CB8" w:rsidRDefault="00F16CB8"/>
    <w:p w:rsidR="00F16CB8" w:rsidRDefault="00F16CB8"/>
    <w:sectPr w:rsidR="00F16CB8" w:rsidSect="00310798">
      <w:type w:val="continuous"/>
      <w:pgSz w:w="12240" w:h="15840"/>
      <w:pgMar w:top="1152" w:right="720" w:bottom="576" w:left="720" w:header="720" w:footer="720" w:gutter="0"/>
      <w:cols w:num="2" w:space="28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FD1F3D"/>
    <w:multiLevelType w:val="hybridMultilevel"/>
    <w:tmpl w:val="2D3CD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CB8"/>
    <w:rsid w:val="00111D5F"/>
    <w:rsid w:val="00204BE0"/>
    <w:rsid w:val="00220235"/>
    <w:rsid w:val="00310798"/>
    <w:rsid w:val="0037204B"/>
    <w:rsid w:val="003B2228"/>
    <w:rsid w:val="00435CDD"/>
    <w:rsid w:val="00560494"/>
    <w:rsid w:val="006C0E06"/>
    <w:rsid w:val="008973D4"/>
    <w:rsid w:val="00A26CB2"/>
    <w:rsid w:val="00A806C4"/>
    <w:rsid w:val="00B127BE"/>
    <w:rsid w:val="00B40459"/>
    <w:rsid w:val="00B5780B"/>
    <w:rsid w:val="00C9193D"/>
    <w:rsid w:val="00CB16AA"/>
    <w:rsid w:val="00CE7759"/>
    <w:rsid w:val="00E32EBE"/>
    <w:rsid w:val="00F16CB8"/>
    <w:rsid w:val="00F26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93CD7F-3AA1-43E5-A287-77C063E09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F16CB8"/>
    <w:pPr>
      <w:autoSpaceDE w:val="0"/>
      <w:autoSpaceDN w:val="0"/>
      <w:adjustRightInd w:val="0"/>
      <w:spacing w:after="0" w:line="240" w:lineRule="auto"/>
      <w:ind w:left="720"/>
    </w:pPr>
    <w:rPr>
      <w:rFonts w:ascii="Times New Roman" w:eastAsia="Times New Roman" w:hAnsi="Times New Roman" w:cs="Times New Roman"/>
      <w:sz w:val="24"/>
      <w:szCs w:val="24"/>
    </w:rPr>
  </w:style>
  <w:style w:type="paragraph" w:styleId="ListParagraph">
    <w:name w:val="List Paragraph"/>
    <w:basedOn w:val="Normal"/>
    <w:uiPriority w:val="34"/>
    <w:qFormat/>
    <w:rsid w:val="0037204B"/>
    <w:pPr>
      <w:spacing w:after="200" w:line="276" w:lineRule="auto"/>
      <w:ind w:left="720"/>
      <w:contextualSpacing/>
    </w:pPr>
    <w:rPr>
      <w:rFonts w:ascii="Times New Roman" w:eastAsia="Calibri" w:hAnsi="Times New Roman" w:cs="Times New Roman"/>
      <w:sz w:val="24"/>
    </w:rPr>
  </w:style>
  <w:style w:type="character" w:styleId="Hyperlink">
    <w:name w:val="Hyperlink"/>
    <w:uiPriority w:val="99"/>
    <w:unhideWhenUsed/>
    <w:rsid w:val="0037204B"/>
    <w:rPr>
      <w:color w:val="0000FF"/>
      <w:u w:val="single"/>
    </w:rPr>
  </w:style>
  <w:style w:type="paragraph" w:styleId="BalloonText">
    <w:name w:val="Balloon Text"/>
    <w:basedOn w:val="Normal"/>
    <w:link w:val="BalloonTextChar"/>
    <w:uiPriority w:val="99"/>
    <w:semiHidden/>
    <w:unhideWhenUsed/>
    <w:rsid w:val="00A26C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CB2"/>
    <w:rPr>
      <w:rFonts w:ascii="Segoe UI" w:hAnsi="Segoe UI" w:cs="Segoe UI"/>
      <w:sz w:val="18"/>
      <w:szCs w:val="18"/>
    </w:rPr>
  </w:style>
  <w:style w:type="table" w:styleId="TableGrid">
    <w:name w:val="Table Grid"/>
    <w:basedOn w:val="TableNormal"/>
    <w:uiPriority w:val="39"/>
    <w:rsid w:val="00B5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sre.ksu.edu/bookstore/pubs/mf1078.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825</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College of Human Ecology, Kansas State University</Company>
  <LinksUpToDate>false</LinksUpToDate>
  <CharactersWithSpaces>5523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Lamb</dc:creator>
  <cp:keywords/>
  <dc:description/>
  <cp:lastModifiedBy>Linda Lamb</cp:lastModifiedBy>
  <cp:revision>2</cp:revision>
  <cp:lastPrinted>2014-08-05T21:41:00Z</cp:lastPrinted>
  <dcterms:created xsi:type="dcterms:W3CDTF">2015-04-28T19:37:00Z</dcterms:created>
  <dcterms:modified xsi:type="dcterms:W3CDTF">2015-04-28T19:37:00Z</dcterms:modified>
</cp:coreProperties>
</file>