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E1" w:rsidRDefault="001F2B1C" w:rsidP="001F2B1C">
      <w:pPr>
        <w:pStyle w:val="Body1"/>
        <w:rPr>
          <w:rFonts w:hAnsi="Arial Unicode MS"/>
          <w:b/>
        </w:rPr>
      </w:pPr>
      <w:r>
        <w:rPr>
          <w:rFonts w:hAnsi="Arial Unicode MS"/>
          <w:b/>
          <w:noProof/>
        </w:rPr>
        <w:drawing>
          <wp:anchor distT="0" distB="0" distL="114300" distR="114300" simplePos="0" relativeHeight="251659264" behindDoc="1" locked="0" layoutInCell="1" allowOverlap="1" wp14:anchorId="0B93E365" wp14:editId="438746A6">
            <wp:simplePos x="0" y="0"/>
            <wp:positionH relativeFrom="column">
              <wp:posOffset>5148580</wp:posOffset>
            </wp:positionH>
            <wp:positionV relativeFrom="paragraph">
              <wp:posOffset>118110</wp:posOffset>
            </wp:positionV>
            <wp:extent cx="1334262" cy="38770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62" cy="38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Ansi="Arial Unicode MS"/>
          <w:b/>
          <w:noProof/>
        </w:rPr>
        <w:drawing>
          <wp:inline distT="0" distB="0" distL="0" distR="0" wp14:anchorId="37AE278C" wp14:editId="2F2FE626">
            <wp:extent cx="1066800" cy="561975"/>
            <wp:effectExtent l="19050" t="0" r="0" b="0"/>
            <wp:docPr id="2" name="Picture 2" descr="KSRE_logo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RE_logo_26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="Arial Unicode MS"/>
          <w:b/>
        </w:rPr>
        <w:t xml:space="preserve">                                               </w:t>
      </w:r>
    </w:p>
    <w:p w:rsidR="001F2B1C" w:rsidRDefault="001F2B1C" w:rsidP="001F2B1C">
      <w:pPr>
        <w:pStyle w:val="Body1"/>
        <w:rPr>
          <w:rFonts w:hAnsi="Arial Unicode MS"/>
          <w:b/>
        </w:rPr>
      </w:pPr>
      <w:r>
        <w:rPr>
          <w:rFonts w:hAnsi="Arial Unicode MS"/>
          <w:b/>
        </w:rPr>
        <w:t xml:space="preserve">                                                         </w:t>
      </w:r>
    </w:p>
    <w:p w:rsidR="00AB76E1" w:rsidRPr="00274064" w:rsidRDefault="00AB76E1" w:rsidP="00AB76E1">
      <w:pPr>
        <w:spacing w:after="0" w:line="240" w:lineRule="auto"/>
        <w:jc w:val="center"/>
        <w:rPr>
          <w:sz w:val="16"/>
        </w:rPr>
      </w:pPr>
      <w:r>
        <w:rPr>
          <w:b/>
          <w:sz w:val="32"/>
        </w:rPr>
        <w:t>Analytical Water Testing Laboratories</w:t>
      </w:r>
    </w:p>
    <w:p w:rsidR="00AB76E1" w:rsidRDefault="00AB76E1" w:rsidP="00AB76E1">
      <w:pPr>
        <w:spacing w:after="0" w:line="240" w:lineRule="auto"/>
        <w:jc w:val="center"/>
        <w:rPr>
          <w:rFonts w:cstheme="minorHAnsi"/>
          <w:b/>
          <w:sz w:val="28"/>
        </w:rPr>
      </w:pPr>
      <w:r w:rsidRPr="00FE41BF">
        <w:rPr>
          <w:rFonts w:cstheme="minorHAnsi"/>
          <w:b/>
          <w:sz w:val="28"/>
        </w:rPr>
        <w:t xml:space="preserve">Extension Food Safety </w:t>
      </w:r>
      <w:r>
        <w:rPr>
          <w:rFonts w:cstheme="minorHAnsi"/>
          <w:b/>
          <w:sz w:val="28"/>
        </w:rPr>
        <w:t>Fact Sheet</w:t>
      </w:r>
      <w:r w:rsidRPr="00FE41BF">
        <w:rPr>
          <w:rFonts w:cstheme="minorHAnsi"/>
          <w:b/>
          <w:sz w:val="28"/>
        </w:rPr>
        <w:t xml:space="preserve">- </w:t>
      </w:r>
      <w:r w:rsidR="00CE306E">
        <w:rPr>
          <w:rFonts w:cstheme="minorHAnsi"/>
          <w:b/>
          <w:sz w:val="28"/>
        </w:rPr>
        <w:t>October</w:t>
      </w:r>
      <w:r>
        <w:rPr>
          <w:rFonts w:cstheme="minorHAnsi"/>
          <w:b/>
          <w:sz w:val="28"/>
        </w:rPr>
        <w:t xml:space="preserve"> 2017</w:t>
      </w:r>
    </w:p>
    <w:p w:rsidR="00AB76E1" w:rsidRDefault="00AB76E1" w:rsidP="00AB76E1"/>
    <w:p w:rsidR="00AB76E1" w:rsidRDefault="00AB76E1" w:rsidP="00AB76E1">
      <w:pPr>
        <w:jc w:val="center"/>
        <w:rPr>
          <w:rFonts w:cstheme="minorHAnsi"/>
          <w:i/>
        </w:rPr>
      </w:pPr>
      <w:r w:rsidRPr="008E4B9E">
        <w:rPr>
          <w:rFonts w:cstheme="minorHAnsi"/>
          <w:i/>
        </w:rPr>
        <w:t xml:space="preserve">The following is </w:t>
      </w:r>
      <w:r w:rsidRPr="004A59A1">
        <w:rPr>
          <w:rFonts w:cstheme="minorHAnsi"/>
          <w:i/>
        </w:rPr>
        <w:t xml:space="preserve">intended to be a partial listing of </w:t>
      </w:r>
      <w:r>
        <w:rPr>
          <w:rFonts w:cstheme="minorHAnsi"/>
          <w:i/>
        </w:rPr>
        <w:t xml:space="preserve">laboratories in and near the Midwest that provide </w:t>
      </w:r>
      <w:r w:rsidR="00203768">
        <w:rPr>
          <w:rFonts w:cstheme="minorHAnsi"/>
          <w:i/>
        </w:rPr>
        <w:t xml:space="preserve">water testing </w:t>
      </w:r>
      <w:r>
        <w:rPr>
          <w:rFonts w:cstheme="minorHAnsi"/>
          <w:i/>
        </w:rPr>
        <w:t>to Midwestern produce growers.</w:t>
      </w:r>
      <w:r w:rsidRPr="004A59A1">
        <w:rPr>
          <w:rFonts w:cstheme="minorHAnsi"/>
          <w:i/>
        </w:rPr>
        <w:t xml:space="preserve"> They are listed in no particular order. Any reference to commercial products, trade names, or brand names is for information only, and no endorsement or approval is intended</w:t>
      </w:r>
      <w:r>
        <w:rPr>
          <w:rFonts w:cstheme="minorHAnsi"/>
          <w:i/>
        </w:rPr>
        <w:t>.</w:t>
      </w:r>
      <w:r w:rsidR="0026127A">
        <w:rPr>
          <w:rFonts w:cstheme="minorHAnsi"/>
          <w:i/>
        </w:rPr>
        <w:t xml:space="preserve"> </w:t>
      </w:r>
    </w:p>
    <w:p w:rsidR="0026127A" w:rsidRPr="0026127A" w:rsidRDefault="0026127A" w:rsidP="0026127A">
      <w:pPr>
        <w:pStyle w:val="NormalWeb"/>
        <w:spacing w:after="240"/>
        <w:rPr>
          <w:rFonts w:asciiTheme="minorHAnsi" w:hAnsiTheme="minorHAnsi" w:cstheme="minorBidi"/>
          <w:sz w:val="22"/>
          <w:szCs w:val="22"/>
        </w:rPr>
      </w:pPr>
      <w:r w:rsidRPr="0026127A">
        <w:rPr>
          <w:rFonts w:asciiTheme="minorHAnsi" w:hAnsiTheme="minorHAnsi" w:cstheme="minorBidi"/>
          <w:sz w:val="22"/>
          <w:szCs w:val="22"/>
        </w:rPr>
        <w:t xml:space="preserve">For the labs where the “Method Offered” is blank, the lab can enumerate generic </w:t>
      </w:r>
      <w:r w:rsidRPr="0026127A">
        <w:rPr>
          <w:rFonts w:asciiTheme="minorHAnsi" w:hAnsiTheme="minorHAnsi" w:cstheme="minorBidi"/>
          <w:i/>
          <w:sz w:val="22"/>
          <w:szCs w:val="22"/>
        </w:rPr>
        <w:t>E. coli</w:t>
      </w:r>
      <w:r w:rsidRPr="0026127A">
        <w:rPr>
          <w:rFonts w:asciiTheme="minorHAnsi" w:hAnsiTheme="minorHAnsi" w:cstheme="minorBidi"/>
          <w:sz w:val="22"/>
          <w:szCs w:val="22"/>
        </w:rPr>
        <w:t xml:space="preserve">, but we are not currently certain which method they are using for testing. </w:t>
      </w:r>
      <w:r>
        <w:rPr>
          <w:rFonts w:asciiTheme="minorHAnsi" w:hAnsiTheme="minorHAnsi" w:cstheme="minorBidi"/>
          <w:sz w:val="22"/>
          <w:szCs w:val="22"/>
        </w:rPr>
        <w:t>We will continue to update this list in the future, but at this time, p</w:t>
      </w:r>
      <w:r w:rsidRPr="0026127A">
        <w:rPr>
          <w:rFonts w:asciiTheme="minorHAnsi" w:hAnsiTheme="minorHAnsi" w:cstheme="minorBidi"/>
          <w:sz w:val="22"/>
          <w:szCs w:val="22"/>
        </w:rPr>
        <w:t xml:space="preserve">lease contact those labs to confirm which testing method they are using to be sure that it is accepted by FDA for FSMA (methods listed here: </w:t>
      </w:r>
      <w:hyperlink r:id="rId11" w:history="1">
        <w:r w:rsidRPr="0026127A">
          <w:rPr>
            <w:rStyle w:val="Hyperlink"/>
            <w:rFonts w:asciiTheme="minorHAnsi" w:hAnsiTheme="minorHAnsi" w:cstheme="minorBidi"/>
            <w:b w:val="0"/>
            <w:sz w:val="22"/>
            <w:szCs w:val="22"/>
          </w:rPr>
          <w:t>www.fda.gov/Food/FoodScienceResearch/LaboratoryMethods/ucm575251.htm?source=govdelivery&amp;utm_medium=email&amp;utm_source=govdelivery</w:t>
        </w:r>
      </w:hyperlink>
      <w:r>
        <w:rPr>
          <w:rFonts w:asciiTheme="minorHAnsi" w:hAnsiTheme="minorHAnsi" w:cstheme="minorBidi"/>
          <w:sz w:val="22"/>
          <w:szCs w:val="22"/>
        </w:rPr>
        <w:t xml:space="preserve"> </w:t>
      </w:r>
    </w:p>
    <w:p w:rsidR="00AB76E1" w:rsidRDefault="00AB76E1" w:rsidP="00AB76E1">
      <w:r>
        <w:t>Numerous labs are available in other Midwestern states, as well as throughout the US.</w:t>
      </w:r>
    </w:p>
    <w:p w:rsidR="009B7EF5" w:rsidRPr="009B7EF5" w:rsidRDefault="00AB76E1">
      <w:pPr>
        <w:rPr>
          <w:i/>
        </w:rPr>
      </w:pPr>
      <w:r>
        <w:rPr>
          <w:i/>
        </w:rPr>
        <w:t xml:space="preserve">Be sure to call before sending any samples to a laboratory. Always label each sample with your name, phone number, sample identity or code, the date that is was collected, and the test(s) required. </w:t>
      </w:r>
    </w:p>
    <w:tbl>
      <w:tblPr>
        <w:tblStyle w:val="TableGrid"/>
        <w:tblW w:w="7465" w:type="dxa"/>
        <w:jc w:val="center"/>
        <w:tblLook w:val="04A0" w:firstRow="1" w:lastRow="0" w:firstColumn="1" w:lastColumn="0" w:noHBand="0" w:noVBand="1"/>
      </w:tblPr>
      <w:tblGrid>
        <w:gridCol w:w="1435"/>
        <w:gridCol w:w="1890"/>
        <w:gridCol w:w="1440"/>
        <w:gridCol w:w="1260"/>
        <w:gridCol w:w="1440"/>
      </w:tblGrid>
      <w:tr w:rsidR="009B7EF5" w:rsidRPr="00C20113" w:rsidTr="009B7EF5">
        <w:trPr>
          <w:trHeight w:val="300"/>
          <w:jc w:val="center"/>
        </w:trPr>
        <w:tc>
          <w:tcPr>
            <w:tcW w:w="1435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20113">
              <w:rPr>
                <w:b/>
                <w:bCs/>
                <w:sz w:val="18"/>
                <w:szCs w:val="18"/>
                <w:u w:val="single"/>
              </w:rPr>
              <w:t>Illinois</w:t>
            </w:r>
          </w:p>
        </w:tc>
        <w:tc>
          <w:tcPr>
            <w:tcW w:w="189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</w:p>
        </w:tc>
      </w:tr>
      <w:tr w:rsidR="009B7EF5" w:rsidRPr="00C20113" w:rsidTr="009B7EF5">
        <w:trPr>
          <w:trHeight w:val="300"/>
          <w:jc w:val="center"/>
        </w:trPr>
        <w:tc>
          <w:tcPr>
            <w:tcW w:w="1435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Lab Name</w:t>
            </w:r>
          </w:p>
        </w:tc>
        <w:tc>
          <w:tcPr>
            <w:tcW w:w="1890" w:type="dxa"/>
            <w:hideMark/>
          </w:tcPr>
          <w:p w:rsidR="009B7EF5" w:rsidRPr="00C20113" w:rsidRDefault="009B7EF5" w:rsidP="00392C0B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44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Phone No.</w:t>
            </w:r>
          </w:p>
        </w:tc>
        <w:tc>
          <w:tcPr>
            <w:tcW w:w="1260" w:type="dxa"/>
          </w:tcPr>
          <w:p w:rsidR="009B7EF5" w:rsidRPr="00C20113" w:rsidRDefault="009B7EF5" w:rsidP="00392C0B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Method Offered</w:t>
            </w:r>
          </w:p>
        </w:tc>
        <w:tc>
          <w:tcPr>
            <w:tcW w:w="144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Price</w:t>
            </w:r>
          </w:p>
        </w:tc>
      </w:tr>
      <w:tr w:rsidR="009B7EF5" w:rsidRPr="00C20113" w:rsidTr="009B7EF5">
        <w:trPr>
          <w:trHeight w:val="900"/>
          <w:jc w:val="center"/>
        </w:trPr>
        <w:tc>
          <w:tcPr>
            <w:tcW w:w="1435" w:type="dxa"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DuPage County Health Department</w:t>
            </w:r>
          </w:p>
        </w:tc>
        <w:tc>
          <w:tcPr>
            <w:tcW w:w="1890" w:type="dxa"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 N. County Farm Rd. Wheaton, IL 60187-3988</w:t>
            </w:r>
          </w:p>
        </w:tc>
        <w:tc>
          <w:tcPr>
            <w:tcW w:w="1440" w:type="dxa"/>
            <w:noWrap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630-221-7177</w:t>
            </w:r>
          </w:p>
        </w:tc>
        <w:tc>
          <w:tcPr>
            <w:tcW w:w="1260" w:type="dxa"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Colilert </w:t>
            </w:r>
            <w:proofErr w:type="spellStart"/>
            <w:r>
              <w:rPr>
                <w:sz w:val="18"/>
                <w:szCs w:val="18"/>
              </w:rPr>
              <w:t>Quantitray</w:t>
            </w:r>
            <w:proofErr w:type="spellEnd"/>
          </w:p>
        </w:tc>
        <w:tc>
          <w:tcPr>
            <w:tcW w:w="1440" w:type="dxa"/>
            <w:noWrap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$30</w:t>
            </w:r>
          </w:p>
        </w:tc>
      </w:tr>
      <w:tr w:rsidR="009B7EF5" w:rsidRPr="00C20113" w:rsidTr="009B7EF5">
        <w:trPr>
          <w:trHeight w:val="600"/>
          <w:jc w:val="center"/>
        </w:trPr>
        <w:tc>
          <w:tcPr>
            <w:tcW w:w="1435" w:type="dxa"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Key Laboratory Services, Inc.</w:t>
            </w:r>
          </w:p>
        </w:tc>
        <w:tc>
          <w:tcPr>
            <w:tcW w:w="1890" w:type="dxa"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2363 Federal Drive Decatur, IL 62526</w:t>
            </w:r>
          </w:p>
        </w:tc>
        <w:tc>
          <w:tcPr>
            <w:tcW w:w="144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217-875-2691</w:t>
            </w:r>
          </w:p>
        </w:tc>
        <w:tc>
          <w:tcPr>
            <w:tcW w:w="1260" w:type="dxa"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$30 </w:t>
            </w:r>
          </w:p>
        </w:tc>
      </w:tr>
      <w:tr w:rsidR="009B7EF5" w:rsidRPr="00C20113" w:rsidTr="009B7EF5">
        <w:trPr>
          <w:trHeight w:val="900"/>
          <w:jc w:val="center"/>
        </w:trPr>
        <w:tc>
          <w:tcPr>
            <w:tcW w:w="1435" w:type="dxa"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McHenry Analytical Water Laboratory</w:t>
            </w:r>
          </w:p>
        </w:tc>
        <w:tc>
          <w:tcPr>
            <w:tcW w:w="1890" w:type="dxa"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4314-A Crystal Lake Rd. McHenry, IL 60050-4281</w:t>
            </w:r>
          </w:p>
        </w:tc>
        <w:tc>
          <w:tcPr>
            <w:tcW w:w="144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815-344-4044</w:t>
            </w:r>
          </w:p>
        </w:tc>
        <w:tc>
          <w:tcPr>
            <w:tcW w:w="1260" w:type="dxa"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Colilert </w:t>
            </w:r>
            <w:proofErr w:type="spellStart"/>
            <w:r w:rsidRPr="00C20113">
              <w:rPr>
                <w:sz w:val="18"/>
                <w:szCs w:val="18"/>
              </w:rPr>
              <w:t>Quantitray</w:t>
            </w:r>
            <w:proofErr w:type="spellEnd"/>
          </w:p>
        </w:tc>
        <w:tc>
          <w:tcPr>
            <w:tcW w:w="144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$30 </w:t>
            </w:r>
          </w:p>
        </w:tc>
      </w:tr>
      <w:tr w:rsidR="009B7EF5" w:rsidRPr="00C20113" w:rsidTr="009B7EF5">
        <w:trPr>
          <w:trHeight w:val="600"/>
          <w:jc w:val="center"/>
        </w:trPr>
        <w:tc>
          <w:tcPr>
            <w:tcW w:w="1435" w:type="dxa"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PDC Laboratories, Inc.</w:t>
            </w:r>
          </w:p>
        </w:tc>
        <w:tc>
          <w:tcPr>
            <w:tcW w:w="1890" w:type="dxa"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2231 W. </w:t>
            </w:r>
            <w:proofErr w:type="spellStart"/>
            <w:r w:rsidRPr="00C20113">
              <w:rPr>
                <w:sz w:val="18"/>
                <w:szCs w:val="18"/>
              </w:rPr>
              <w:t>Altorfer</w:t>
            </w:r>
            <w:proofErr w:type="spellEnd"/>
            <w:r w:rsidRPr="00C20113">
              <w:rPr>
                <w:sz w:val="18"/>
                <w:szCs w:val="18"/>
              </w:rPr>
              <w:t xml:space="preserve"> Peoria, IL 61615</w:t>
            </w:r>
          </w:p>
        </w:tc>
        <w:tc>
          <w:tcPr>
            <w:tcW w:w="144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309-683-1766</w:t>
            </w:r>
          </w:p>
        </w:tc>
        <w:tc>
          <w:tcPr>
            <w:tcW w:w="1260" w:type="dxa"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Colilert </w:t>
            </w:r>
            <w:proofErr w:type="spellStart"/>
            <w:r w:rsidRPr="00C20113">
              <w:rPr>
                <w:sz w:val="18"/>
                <w:szCs w:val="18"/>
              </w:rPr>
              <w:t>Quantitray</w:t>
            </w:r>
            <w:proofErr w:type="spellEnd"/>
          </w:p>
        </w:tc>
        <w:tc>
          <w:tcPr>
            <w:tcW w:w="144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$25 </w:t>
            </w:r>
          </w:p>
        </w:tc>
      </w:tr>
      <w:tr w:rsidR="009B7EF5" w:rsidRPr="00C20113" w:rsidTr="009B7EF5">
        <w:trPr>
          <w:trHeight w:val="1200"/>
          <w:jc w:val="center"/>
        </w:trPr>
        <w:tc>
          <w:tcPr>
            <w:tcW w:w="1435" w:type="dxa"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Prairie Analytical</w:t>
            </w:r>
          </w:p>
        </w:tc>
        <w:tc>
          <w:tcPr>
            <w:tcW w:w="1890" w:type="dxa"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1210 Capitol Airport Drive Springfield, IL 62707</w:t>
            </w:r>
          </w:p>
        </w:tc>
        <w:tc>
          <w:tcPr>
            <w:tcW w:w="1440" w:type="dxa"/>
            <w:noWrap/>
            <w:hideMark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217-753-1148</w:t>
            </w:r>
          </w:p>
        </w:tc>
        <w:tc>
          <w:tcPr>
            <w:tcW w:w="1260" w:type="dxa"/>
          </w:tcPr>
          <w:p w:rsidR="009B7EF5" w:rsidRPr="00C20113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Colilert </w:t>
            </w:r>
            <w:proofErr w:type="spellStart"/>
            <w:r w:rsidRPr="00C20113">
              <w:rPr>
                <w:sz w:val="18"/>
                <w:szCs w:val="18"/>
              </w:rPr>
              <w:t>Quantitray</w:t>
            </w:r>
            <w:proofErr w:type="spellEnd"/>
          </w:p>
        </w:tc>
        <w:tc>
          <w:tcPr>
            <w:tcW w:w="1440" w:type="dxa"/>
            <w:noWrap/>
            <w:hideMark/>
          </w:tcPr>
          <w:p w:rsidR="009B7EF5" w:rsidRDefault="009B7EF5" w:rsidP="00392C0B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$40 </w:t>
            </w:r>
          </w:p>
          <w:p w:rsidR="00546A23" w:rsidRDefault="00546A23" w:rsidP="00392C0B">
            <w:pPr>
              <w:jc w:val="center"/>
              <w:rPr>
                <w:sz w:val="18"/>
                <w:szCs w:val="18"/>
              </w:rPr>
            </w:pPr>
          </w:p>
          <w:p w:rsidR="00546A23" w:rsidRDefault="00546A23" w:rsidP="00392C0B">
            <w:pPr>
              <w:jc w:val="center"/>
              <w:rPr>
                <w:sz w:val="18"/>
                <w:szCs w:val="18"/>
              </w:rPr>
            </w:pPr>
          </w:p>
          <w:p w:rsidR="00546A23" w:rsidRDefault="00546A23" w:rsidP="00392C0B">
            <w:pPr>
              <w:jc w:val="center"/>
              <w:rPr>
                <w:sz w:val="18"/>
                <w:szCs w:val="18"/>
              </w:rPr>
            </w:pPr>
          </w:p>
          <w:p w:rsidR="00546A23" w:rsidRDefault="00546A23" w:rsidP="00392C0B">
            <w:pPr>
              <w:jc w:val="center"/>
              <w:rPr>
                <w:sz w:val="18"/>
                <w:szCs w:val="18"/>
              </w:rPr>
            </w:pPr>
          </w:p>
          <w:p w:rsidR="00546A23" w:rsidRDefault="00546A23" w:rsidP="00392C0B">
            <w:pPr>
              <w:jc w:val="center"/>
              <w:rPr>
                <w:sz w:val="18"/>
                <w:szCs w:val="18"/>
              </w:rPr>
            </w:pPr>
          </w:p>
          <w:p w:rsidR="00546A23" w:rsidRDefault="00546A23" w:rsidP="00392C0B">
            <w:pPr>
              <w:jc w:val="center"/>
              <w:rPr>
                <w:sz w:val="18"/>
                <w:szCs w:val="18"/>
              </w:rPr>
            </w:pPr>
          </w:p>
          <w:p w:rsidR="00546A23" w:rsidRPr="00C20113" w:rsidRDefault="00546A23" w:rsidP="00392C0B">
            <w:pPr>
              <w:jc w:val="center"/>
              <w:rPr>
                <w:sz w:val="18"/>
                <w:szCs w:val="18"/>
              </w:rPr>
            </w:pPr>
          </w:p>
        </w:tc>
      </w:tr>
      <w:tr w:rsidR="00AB76E1" w:rsidRPr="00A83B05" w:rsidTr="009B7EF5">
        <w:trPr>
          <w:trHeight w:val="300"/>
          <w:jc w:val="center"/>
        </w:trPr>
        <w:tc>
          <w:tcPr>
            <w:tcW w:w="1435" w:type="dxa"/>
            <w:hideMark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20113">
              <w:rPr>
                <w:b/>
                <w:bCs/>
                <w:sz w:val="18"/>
                <w:szCs w:val="18"/>
                <w:u w:val="single"/>
              </w:rPr>
              <w:lastRenderedPageBreak/>
              <w:t>Iowa</w:t>
            </w:r>
          </w:p>
        </w:tc>
        <w:tc>
          <w:tcPr>
            <w:tcW w:w="1890" w:type="dxa"/>
            <w:hideMark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</w:p>
        </w:tc>
      </w:tr>
      <w:tr w:rsidR="00AB76E1" w:rsidRPr="00A83B05" w:rsidTr="009B7EF5">
        <w:trPr>
          <w:trHeight w:val="300"/>
          <w:jc w:val="center"/>
        </w:trPr>
        <w:tc>
          <w:tcPr>
            <w:tcW w:w="1435" w:type="dxa"/>
            <w:hideMark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Lab Name</w:t>
            </w:r>
          </w:p>
        </w:tc>
        <w:tc>
          <w:tcPr>
            <w:tcW w:w="1890" w:type="dxa"/>
            <w:hideMark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Phone No.</w:t>
            </w:r>
          </w:p>
        </w:tc>
        <w:tc>
          <w:tcPr>
            <w:tcW w:w="1260" w:type="dxa"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Method</w:t>
            </w:r>
            <w:r>
              <w:rPr>
                <w:b/>
                <w:bCs/>
                <w:sz w:val="18"/>
                <w:szCs w:val="18"/>
              </w:rPr>
              <w:br/>
              <w:t>Offered</w:t>
            </w: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Price</w:t>
            </w:r>
          </w:p>
        </w:tc>
      </w:tr>
      <w:tr w:rsidR="00AB76E1" w:rsidRPr="00A83B05" w:rsidTr="009B7EF5">
        <w:trPr>
          <w:trHeight w:val="900"/>
          <w:jc w:val="center"/>
        </w:trPr>
        <w:tc>
          <w:tcPr>
            <w:tcW w:w="1435" w:type="dxa"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Analytical &amp; Consulting Services</w:t>
            </w:r>
          </w:p>
        </w:tc>
        <w:tc>
          <w:tcPr>
            <w:tcW w:w="1890" w:type="dxa"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205 Sergeant Square Dr. Sergeant Bluff, IA</w:t>
            </w: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712-943-4888</w:t>
            </w:r>
          </w:p>
        </w:tc>
        <w:tc>
          <w:tcPr>
            <w:tcW w:w="1260" w:type="dxa"/>
          </w:tcPr>
          <w:p w:rsidR="00937042" w:rsidRPr="00C20113" w:rsidRDefault="00937042" w:rsidP="00937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Colilert </w:t>
            </w:r>
            <w:proofErr w:type="spellStart"/>
            <w:r>
              <w:rPr>
                <w:sz w:val="18"/>
                <w:szCs w:val="18"/>
              </w:rPr>
              <w:t>Quantitray</w:t>
            </w:r>
            <w:proofErr w:type="spellEnd"/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$30.25 </w:t>
            </w:r>
          </w:p>
        </w:tc>
      </w:tr>
      <w:tr w:rsidR="00AB76E1" w:rsidRPr="00A83B05" w:rsidTr="009B7EF5">
        <w:trPr>
          <w:trHeight w:val="600"/>
          <w:jc w:val="center"/>
        </w:trPr>
        <w:tc>
          <w:tcPr>
            <w:tcW w:w="1435" w:type="dxa"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Dubuque County Health Department</w:t>
            </w:r>
          </w:p>
        </w:tc>
        <w:tc>
          <w:tcPr>
            <w:tcW w:w="1890" w:type="dxa"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13047 City View Dr. Dubuque, IA 52002</w:t>
            </w: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563-557-7396</w:t>
            </w:r>
          </w:p>
        </w:tc>
        <w:tc>
          <w:tcPr>
            <w:tcW w:w="1260" w:type="dxa"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$20 </w:t>
            </w:r>
          </w:p>
        </w:tc>
      </w:tr>
      <w:tr w:rsidR="00AB76E1" w:rsidRPr="00A83B05" w:rsidTr="009B7EF5">
        <w:trPr>
          <w:trHeight w:val="600"/>
          <w:jc w:val="center"/>
        </w:trPr>
        <w:tc>
          <w:tcPr>
            <w:tcW w:w="1435" w:type="dxa"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Foundation Analytical Laboratory</w:t>
            </w:r>
          </w:p>
        </w:tc>
        <w:tc>
          <w:tcPr>
            <w:tcW w:w="1890" w:type="dxa"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115 E. Maple Street Cherokee, IA 51012</w:t>
            </w: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712-225-6989</w:t>
            </w:r>
          </w:p>
        </w:tc>
        <w:tc>
          <w:tcPr>
            <w:tcW w:w="1260" w:type="dxa"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$25 </w:t>
            </w:r>
          </w:p>
        </w:tc>
      </w:tr>
      <w:tr w:rsidR="00AB76E1" w:rsidRPr="00A83B05" w:rsidTr="009B7EF5">
        <w:trPr>
          <w:trHeight w:val="600"/>
          <w:jc w:val="center"/>
        </w:trPr>
        <w:tc>
          <w:tcPr>
            <w:tcW w:w="1435" w:type="dxa"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QC Analytical Services</w:t>
            </w:r>
          </w:p>
        </w:tc>
        <w:tc>
          <w:tcPr>
            <w:tcW w:w="1890" w:type="dxa"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1798 Iowa Drive Le Claire, IA 52753</w:t>
            </w: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563-289-3373</w:t>
            </w:r>
          </w:p>
        </w:tc>
        <w:tc>
          <w:tcPr>
            <w:tcW w:w="1260" w:type="dxa"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$25 </w:t>
            </w:r>
          </w:p>
        </w:tc>
      </w:tr>
      <w:tr w:rsidR="00AB76E1" w:rsidRPr="00A83B05" w:rsidTr="009B7EF5">
        <w:trPr>
          <w:trHeight w:val="900"/>
          <w:jc w:val="center"/>
        </w:trPr>
        <w:tc>
          <w:tcPr>
            <w:tcW w:w="1435" w:type="dxa"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State Hygienic Laboratory</w:t>
            </w:r>
          </w:p>
        </w:tc>
        <w:tc>
          <w:tcPr>
            <w:tcW w:w="1890" w:type="dxa"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2490 </w:t>
            </w:r>
            <w:proofErr w:type="spellStart"/>
            <w:r w:rsidRPr="00C20113">
              <w:rPr>
                <w:sz w:val="18"/>
                <w:szCs w:val="18"/>
              </w:rPr>
              <w:t>Crosspark</w:t>
            </w:r>
            <w:proofErr w:type="spellEnd"/>
            <w:r w:rsidRPr="00C20113">
              <w:rPr>
                <w:sz w:val="18"/>
                <w:szCs w:val="18"/>
              </w:rPr>
              <w:t xml:space="preserve"> Ave. Coralville, IA 52241-4721</w:t>
            </w: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319-335-4500</w:t>
            </w:r>
          </w:p>
        </w:tc>
        <w:tc>
          <w:tcPr>
            <w:tcW w:w="1260" w:type="dxa"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EPA 1603</w:t>
            </w: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$19.50 </w:t>
            </w:r>
          </w:p>
        </w:tc>
      </w:tr>
      <w:tr w:rsidR="00AB76E1" w:rsidRPr="00A83B05" w:rsidTr="009B7EF5">
        <w:trPr>
          <w:trHeight w:val="300"/>
          <w:jc w:val="center"/>
        </w:trPr>
        <w:tc>
          <w:tcPr>
            <w:tcW w:w="1435" w:type="dxa"/>
            <w:hideMark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20113">
              <w:rPr>
                <w:b/>
                <w:bCs/>
                <w:sz w:val="18"/>
                <w:szCs w:val="18"/>
                <w:u w:val="single"/>
              </w:rPr>
              <w:t>Kansas</w:t>
            </w:r>
          </w:p>
        </w:tc>
        <w:tc>
          <w:tcPr>
            <w:tcW w:w="1890" w:type="dxa"/>
            <w:hideMark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sz w:val="18"/>
                <w:szCs w:val="18"/>
              </w:rPr>
            </w:pPr>
          </w:p>
        </w:tc>
      </w:tr>
      <w:tr w:rsidR="00AB76E1" w:rsidRPr="00A83B05" w:rsidTr="009B7EF5">
        <w:trPr>
          <w:trHeight w:val="300"/>
          <w:jc w:val="center"/>
        </w:trPr>
        <w:tc>
          <w:tcPr>
            <w:tcW w:w="1435" w:type="dxa"/>
            <w:hideMark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Lab Name</w:t>
            </w:r>
          </w:p>
        </w:tc>
        <w:tc>
          <w:tcPr>
            <w:tcW w:w="1890" w:type="dxa"/>
            <w:hideMark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440" w:type="dxa"/>
            <w:noWrap/>
            <w:hideMark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Phone No.</w:t>
            </w:r>
          </w:p>
        </w:tc>
        <w:tc>
          <w:tcPr>
            <w:tcW w:w="1260" w:type="dxa"/>
          </w:tcPr>
          <w:p w:rsidR="00AB76E1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Method Offered</w:t>
            </w:r>
          </w:p>
        </w:tc>
        <w:tc>
          <w:tcPr>
            <w:tcW w:w="1440" w:type="dxa"/>
            <w:noWrap/>
            <w:hideMark/>
          </w:tcPr>
          <w:p w:rsidR="004369EA" w:rsidRPr="00C20113" w:rsidRDefault="00AB76E1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Price</w:t>
            </w:r>
            <w:r w:rsidR="004369EA">
              <w:rPr>
                <w:b/>
                <w:bCs/>
                <w:sz w:val="18"/>
                <w:szCs w:val="18"/>
              </w:rPr>
              <w:br/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proofErr w:type="spellStart"/>
            <w:r w:rsidRPr="00C20113">
              <w:rPr>
                <w:sz w:val="18"/>
                <w:szCs w:val="18"/>
              </w:rPr>
              <w:t>Meridan</w:t>
            </w:r>
            <w:proofErr w:type="spellEnd"/>
            <w:r w:rsidRPr="00C20113">
              <w:rPr>
                <w:sz w:val="18"/>
                <w:szCs w:val="18"/>
              </w:rPr>
              <w:t xml:space="preserve"> Analytical Laboratory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2626 South Rock Road, Suite 124 Wichita, KS 67210-1857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316-618-8787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$45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SDK Laboratories 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1000 Corey Road Hutchinson, KS 67501-0886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620-665-5661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$30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proofErr w:type="spellStart"/>
            <w:r w:rsidRPr="00C20113">
              <w:rPr>
                <w:sz w:val="18"/>
                <w:szCs w:val="18"/>
              </w:rPr>
              <w:t>Servi</w:t>
            </w:r>
            <w:proofErr w:type="spellEnd"/>
            <w:r w:rsidRPr="00C20113">
              <w:rPr>
                <w:sz w:val="18"/>
                <w:szCs w:val="18"/>
              </w:rPr>
              <w:t>-Tech Laboratories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1818 East Wyatt Earp Boulevard Dodge City, KS 67801-7007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620-227-7123</w:t>
            </w:r>
          </w:p>
        </w:tc>
        <w:tc>
          <w:tcPr>
            <w:tcW w:w="1260" w:type="dxa"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Colilert </w:t>
            </w:r>
            <w:proofErr w:type="spellStart"/>
            <w:r>
              <w:rPr>
                <w:sz w:val="18"/>
                <w:szCs w:val="18"/>
              </w:rPr>
              <w:t>Quantitray</w:t>
            </w:r>
            <w:proofErr w:type="spellEnd"/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$22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  <w:u w:val="single"/>
              </w:rPr>
              <w:t>Kentucky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Lab Name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Phone No.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Method</w:t>
            </w:r>
            <w:r>
              <w:rPr>
                <w:b/>
                <w:bCs/>
                <w:sz w:val="18"/>
                <w:szCs w:val="18"/>
              </w:rPr>
              <w:br/>
              <w:t>Offered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Price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Waters Agricultural Laboratories, Inc. 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2101 Calhoun Road Owensboro, KY 42301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270-685-4039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$15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  <w:u w:val="single"/>
              </w:rPr>
              <w:t xml:space="preserve">Missouri 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Lab Name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Phone No.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Method Offered 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Price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Blue Valley Laboratories, Inc. 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814 E. 16th St. KC, MO 64108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816-471-4719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EPA 10029 Membrane Filtration (mColiBlue24)</w:t>
            </w:r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$50</w:t>
            </w:r>
            <w:r w:rsidR="0026127A">
              <w:rPr>
                <w:sz w:val="18"/>
                <w:szCs w:val="18"/>
              </w:rPr>
              <w:t xml:space="preserve">- </w:t>
            </w:r>
            <w:r w:rsidR="0026127A" w:rsidRPr="0026127A">
              <w:rPr>
                <w:i/>
                <w:sz w:val="18"/>
                <w:szCs w:val="18"/>
              </w:rPr>
              <w:t>note that this method is NOT currently accepted by FDA for FSMA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20113">
              <w:rPr>
                <w:sz w:val="18"/>
                <w:szCs w:val="18"/>
              </w:rPr>
              <w:t>Engineering Surveys &amp; Services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20113">
              <w:rPr>
                <w:sz w:val="18"/>
                <w:szCs w:val="18"/>
              </w:rPr>
              <w:t>1113 Fay St. Columbia, MO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573-449-2646</w:t>
            </w:r>
          </w:p>
        </w:tc>
        <w:tc>
          <w:tcPr>
            <w:tcW w:w="1260" w:type="dxa"/>
          </w:tcPr>
          <w:p w:rsidR="004369EA" w:rsidRPr="00C20113" w:rsidRDefault="00937042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Colilert </w:t>
            </w:r>
            <w:proofErr w:type="spellStart"/>
            <w:r>
              <w:rPr>
                <w:sz w:val="18"/>
                <w:szCs w:val="18"/>
              </w:rPr>
              <w:t>Quantitray</w:t>
            </w:r>
            <w:proofErr w:type="spellEnd"/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$29 Minimum Charge of $75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Environmental Analysis South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400 E. Jackson Blvd. Jackson, MO 63755 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573-204-8817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EPA 1603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$25 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Great Plains Analytical Laboratory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9503 N. Congress Ave. KC, MO 64153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816-891-7337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C20113">
              <w:rPr>
                <w:sz w:val="18"/>
                <w:szCs w:val="18"/>
              </w:rPr>
              <w:lastRenderedPageBreak/>
              <w:t>McDuffey</w:t>
            </w:r>
            <w:proofErr w:type="spellEnd"/>
            <w:r w:rsidRPr="00C20113">
              <w:rPr>
                <w:sz w:val="18"/>
                <w:szCs w:val="18"/>
              </w:rPr>
              <w:t xml:space="preserve"> Laboratory-A </w:t>
            </w:r>
            <w:proofErr w:type="spellStart"/>
            <w:r w:rsidRPr="00C20113">
              <w:rPr>
                <w:sz w:val="18"/>
                <w:szCs w:val="18"/>
              </w:rPr>
              <w:t>Divison</w:t>
            </w:r>
            <w:proofErr w:type="spellEnd"/>
            <w:r w:rsidRPr="00C20113">
              <w:rPr>
                <w:sz w:val="18"/>
                <w:szCs w:val="18"/>
              </w:rPr>
              <w:t xml:space="preserve"> of Lake Ozark Water &amp; Sewer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20113">
              <w:rPr>
                <w:sz w:val="18"/>
                <w:szCs w:val="18"/>
              </w:rPr>
              <w:t>840 Thunder Mountain Rd. Camdenton, MO 65020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573-346-2092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SM 9223B Enzyme Substrate (Colilert </w:t>
            </w:r>
            <w:proofErr w:type="spellStart"/>
            <w:r w:rsidRPr="00C20113">
              <w:rPr>
                <w:sz w:val="18"/>
                <w:szCs w:val="18"/>
              </w:rPr>
              <w:t>QuantiTray</w:t>
            </w:r>
            <w:proofErr w:type="spellEnd"/>
            <w:r w:rsidRPr="00C20113">
              <w:rPr>
                <w:sz w:val="18"/>
                <w:szCs w:val="18"/>
              </w:rPr>
              <w:t xml:space="preserve"> MPN)</w:t>
            </w:r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$35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PDC Laboratories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3278 N. Highway 67 Florissant, MO 63033-1646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314-432-0550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B20AA4" w:rsidRDefault="00B20AA4" w:rsidP="004369EA">
            <w:pPr>
              <w:jc w:val="center"/>
              <w:rPr>
                <w:bCs/>
                <w:sz w:val="18"/>
                <w:szCs w:val="18"/>
              </w:rPr>
            </w:pPr>
            <w:r w:rsidRPr="00B20AA4">
              <w:rPr>
                <w:bCs/>
                <w:sz w:val="18"/>
                <w:szCs w:val="18"/>
              </w:rPr>
              <w:t>$25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St. Louis Testing Laboratories, Inc. 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2810 Clark Ave. St. Louis, MO 63103-2574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314-531-8080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Enumeration not state certified</w:t>
            </w:r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Charge of $50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  <w:u w:val="single"/>
              </w:rPr>
              <w:t>Nebraska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Lab Name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Phone No.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Method </w:t>
            </w:r>
            <w:r>
              <w:rPr>
                <w:b/>
                <w:bCs/>
                <w:sz w:val="18"/>
                <w:szCs w:val="18"/>
              </w:rPr>
              <w:br/>
              <w:t>Offered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b/>
                <w:bCs/>
                <w:sz w:val="18"/>
                <w:szCs w:val="18"/>
              </w:rPr>
              <w:t>Price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Enviro Services, Inc.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818 S. Beltline Highway E. Scottsbluff, NE 69361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308-632-3933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Midwest Laboratories, Inc.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13611 B St. Omaha, NE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402-334-7770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</w:tr>
      <w:tr w:rsidR="004369EA" w:rsidRPr="00A83B05" w:rsidTr="009B7EF5">
        <w:trPr>
          <w:trHeight w:val="300"/>
          <w:jc w:val="center"/>
        </w:trPr>
        <w:tc>
          <w:tcPr>
            <w:tcW w:w="1435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NE Dept. Health and Human Services Public Health Environmental Lab</w:t>
            </w:r>
          </w:p>
        </w:tc>
        <w:tc>
          <w:tcPr>
            <w:tcW w:w="189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 xml:space="preserve">3701 S. 14th St. Lincoln, NE 68502 </w:t>
            </w:r>
          </w:p>
        </w:tc>
        <w:tc>
          <w:tcPr>
            <w:tcW w:w="1440" w:type="dxa"/>
            <w:noWrap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  <w:r w:rsidRPr="00C20113">
              <w:rPr>
                <w:sz w:val="18"/>
                <w:szCs w:val="18"/>
              </w:rPr>
              <w:t>402-471-2122</w:t>
            </w:r>
          </w:p>
        </w:tc>
        <w:tc>
          <w:tcPr>
            <w:tcW w:w="1260" w:type="dxa"/>
          </w:tcPr>
          <w:p w:rsidR="004369EA" w:rsidRPr="00C20113" w:rsidRDefault="004369EA" w:rsidP="0043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369EA" w:rsidRPr="00C20113" w:rsidRDefault="00B20AA4" w:rsidP="004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$17</w:t>
            </w:r>
          </w:p>
        </w:tc>
      </w:tr>
    </w:tbl>
    <w:p w:rsidR="00AB76E1" w:rsidRDefault="00AB76E1" w:rsidP="00AB76E1"/>
    <w:p w:rsidR="00CE306E" w:rsidRDefault="00CE306E" w:rsidP="00CE306E">
      <w:pPr>
        <w:rPr>
          <w:b/>
        </w:rPr>
      </w:pPr>
      <w:bookmarkStart w:id="0" w:name="_GoBack"/>
      <w:bookmarkEnd w:id="0"/>
    </w:p>
    <w:p w:rsidR="0039016E" w:rsidRPr="00DE69D5" w:rsidRDefault="00CE306E" w:rsidP="00CE306E">
      <w:pPr>
        <w:rPr>
          <w:b/>
        </w:rPr>
      </w:pPr>
      <w:r>
        <w:rPr>
          <w:b/>
        </w:rPr>
        <w:t>For more information visit</w:t>
      </w:r>
    </w:p>
    <w:p w:rsidR="003C287B" w:rsidRPr="003C287B" w:rsidRDefault="003C287B" w:rsidP="003C287B">
      <w:pPr>
        <w:spacing w:after="0" w:line="240" w:lineRule="auto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-</w:t>
      </w:r>
      <w:r w:rsidR="00813C4E" w:rsidRPr="003C287B">
        <w:rPr>
          <w:rFonts w:cs="Arial"/>
          <w:bCs/>
          <w:szCs w:val="18"/>
        </w:rPr>
        <w:t>FDA’S FSMA Website</w:t>
      </w:r>
      <w:r>
        <w:rPr>
          <w:rFonts w:cs="Arial"/>
          <w:bCs/>
          <w:szCs w:val="18"/>
        </w:rPr>
        <w:t>:</w:t>
      </w:r>
      <w:r w:rsidRPr="003C287B">
        <w:rPr>
          <w:rFonts w:cs="Arial"/>
          <w:bCs/>
          <w:szCs w:val="18"/>
        </w:rPr>
        <w:t xml:space="preserve">  </w:t>
      </w:r>
      <w:hyperlink r:id="rId12" w:history="1">
        <w:r w:rsidRPr="003C287B">
          <w:rPr>
            <w:rStyle w:val="Hyperlink"/>
            <w:rFonts w:cs="Arial"/>
            <w:b w:val="0"/>
            <w:szCs w:val="18"/>
          </w:rPr>
          <w:t>www.fda.gov/Food/FoodSafety/FSMA/default.htm</w:t>
        </w:r>
      </w:hyperlink>
      <w:r w:rsidRPr="003C287B">
        <w:rPr>
          <w:rFonts w:cs="Arial"/>
          <w:bCs/>
          <w:szCs w:val="18"/>
        </w:rPr>
        <w:t xml:space="preserve"> </w:t>
      </w:r>
    </w:p>
    <w:p w:rsidR="00CE306E" w:rsidRDefault="00CE306E" w:rsidP="003C287B">
      <w:pPr>
        <w:tabs>
          <w:tab w:val="num" w:pos="1440"/>
        </w:tabs>
        <w:spacing w:after="0" w:line="240" w:lineRule="auto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-Kansas State University Produce Safety </w:t>
      </w:r>
      <w:r w:rsidRPr="00CE306E">
        <w:rPr>
          <w:rFonts w:cs="Arial"/>
          <w:bCs/>
          <w:szCs w:val="18"/>
        </w:rPr>
        <w:t>https://www.ksre.k-state.edu/foodsafety/produce/</w:t>
      </w:r>
    </w:p>
    <w:p w:rsidR="003C287B" w:rsidRPr="003C287B" w:rsidRDefault="003C287B" w:rsidP="003C287B">
      <w:pPr>
        <w:tabs>
          <w:tab w:val="num" w:pos="1440"/>
        </w:tabs>
        <w:spacing w:after="0" w:line="240" w:lineRule="auto"/>
        <w:rPr>
          <w:rFonts w:cs="Arial"/>
          <w:b/>
          <w:szCs w:val="18"/>
        </w:rPr>
      </w:pPr>
      <w:r>
        <w:rPr>
          <w:rFonts w:cs="Arial"/>
          <w:bCs/>
          <w:szCs w:val="18"/>
        </w:rPr>
        <w:t>-</w:t>
      </w:r>
      <w:r w:rsidRPr="003C287B">
        <w:rPr>
          <w:rFonts w:cs="Arial"/>
          <w:bCs/>
          <w:szCs w:val="18"/>
        </w:rPr>
        <w:t xml:space="preserve">Cornell Produce Safety Alliance: </w:t>
      </w:r>
      <w:hyperlink r:id="rId13" w:history="1">
        <w:r w:rsidRPr="003C287B">
          <w:rPr>
            <w:rStyle w:val="Hyperlink"/>
            <w:rFonts w:cs="Arial"/>
            <w:b w:val="0"/>
            <w:szCs w:val="18"/>
          </w:rPr>
          <w:t>http://producesafetyalliance.cornell.edu</w:t>
        </w:r>
      </w:hyperlink>
      <w:hyperlink r:id="rId14" w:history="1">
        <w:r w:rsidRPr="003C287B">
          <w:rPr>
            <w:rStyle w:val="Hyperlink"/>
            <w:rFonts w:cs="Arial"/>
            <w:b w:val="0"/>
            <w:szCs w:val="18"/>
          </w:rPr>
          <w:t>/</w:t>
        </w:r>
      </w:hyperlink>
      <w:r w:rsidRPr="003C287B">
        <w:rPr>
          <w:rFonts w:cs="Arial"/>
          <w:b/>
          <w:szCs w:val="18"/>
        </w:rPr>
        <w:t xml:space="preserve"> </w:t>
      </w:r>
    </w:p>
    <w:p w:rsidR="003C287B" w:rsidRPr="003C287B" w:rsidRDefault="003C287B" w:rsidP="003C287B">
      <w:pPr>
        <w:spacing w:after="0" w:line="240" w:lineRule="auto"/>
        <w:rPr>
          <w:rFonts w:cs="Arial"/>
          <w:szCs w:val="18"/>
        </w:rPr>
      </w:pPr>
    </w:p>
    <w:p w:rsidR="00274064" w:rsidRPr="00DE69D5" w:rsidRDefault="00274064" w:rsidP="00274064">
      <w:pPr>
        <w:spacing w:after="0" w:line="240" w:lineRule="auto"/>
        <w:rPr>
          <w:rFonts w:cstheme="minorHAnsi"/>
          <w:i/>
        </w:rPr>
      </w:pPr>
      <w:r w:rsidRPr="00DE69D5">
        <w:rPr>
          <w:rFonts w:cstheme="minorHAnsi"/>
          <w:i/>
        </w:rPr>
        <w:t xml:space="preserve">Prepared by </w:t>
      </w:r>
      <w:r w:rsidR="00C3077B">
        <w:rPr>
          <w:rFonts w:cstheme="minorHAnsi"/>
          <w:i/>
        </w:rPr>
        <w:t>Katelynn Stull</w:t>
      </w:r>
      <w:r w:rsidR="00C3077B">
        <w:rPr>
          <w:rFonts w:cstheme="minorHAnsi"/>
          <w:i/>
        </w:rPr>
        <w:br/>
        <w:t>Reviewed by Londa Nwadike, PhD</w:t>
      </w:r>
    </w:p>
    <w:p w:rsidR="00274064" w:rsidRDefault="00274064" w:rsidP="00274064">
      <w:pPr>
        <w:spacing w:after="0" w:line="240" w:lineRule="auto"/>
        <w:rPr>
          <w:rFonts w:cstheme="minorHAnsi"/>
          <w:i/>
        </w:rPr>
      </w:pPr>
    </w:p>
    <w:p w:rsidR="00274064" w:rsidRDefault="00274064" w:rsidP="00274064">
      <w:pPr>
        <w:spacing w:after="0" w:line="240" w:lineRule="auto"/>
        <w:sectPr w:rsidR="00274064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4064" w:rsidRDefault="00274064" w:rsidP="00274064">
      <w:pPr>
        <w:spacing w:after="0" w:line="240" w:lineRule="auto"/>
        <w:rPr>
          <w:rStyle w:val="Hyperlink"/>
        </w:rPr>
      </w:pPr>
      <w:r>
        <w:lastRenderedPageBreak/>
        <w:t xml:space="preserve">22201 W. Innovation </w:t>
      </w:r>
      <w:proofErr w:type="spellStart"/>
      <w:r>
        <w:t>Dr</w:t>
      </w:r>
      <w:proofErr w:type="spellEnd"/>
      <w:r>
        <w:br/>
        <w:t>Olathe, KS 66061</w:t>
      </w:r>
      <w:r>
        <w:br/>
      </w:r>
      <w:proofErr w:type="spellStart"/>
      <w:r>
        <w:t>tel</w:t>
      </w:r>
      <w:proofErr w:type="spellEnd"/>
      <w:r>
        <w:t>: 913-307-7391</w:t>
      </w:r>
      <w:r>
        <w:br/>
        <w:t xml:space="preserve">email: </w:t>
      </w:r>
      <w:hyperlink r:id="rId16" w:history="1">
        <w:r w:rsidRPr="00E108EE">
          <w:rPr>
            <w:rStyle w:val="Hyperlink"/>
          </w:rPr>
          <w:t>lnwadike@ksu.edu</w:t>
        </w:r>
      </w:hyperlink>
    </w:p>
    <w:p w:rsidR="00274064" w:rsidRDefault="00274064" w:rsidP="00274064">
      <w:pPr>
        <w:spacing w:after="0" w:line="240" w:lineRule="auto"/>
        <w:rPr>
          <w:rStyle w:val="object3"/>
        </w:rPr>
      </w:pPr>
    </w:p>
    <w:p w:rsidR="00274064" w:rsidRDefault="00274064" w:rsidP="00274064">
      <w:pPr>
        <w:spacing w:after="0" w:line="240" w:lineRule="auto"/>
        <w:rPr>
          <w:rFonts w:ascii="Calibri" w:eastAsia="Calibri" w:hAnsi="Calibri"/>
          <w:noProof/>
          <w:szCs w:val="21"/>
        </w:rPr>
      </w:pPr>
      <w:r>
        <w:rPr>
          <w:rFonts w:ascii="Calibri" w:eastAsia="Calibri" w:hAnsi="Calibri"/>
          <w:noProof/>
          <w:szCs w:val="21"/>
        </w:rPr>
        <w:t xml:space="preserve">            </w:t>
      </w:r>
    </w:p>
    <w:p w:rsidR="00274064" w:rsidRDefault="00274064" w:rsidP="00274064">
      <w:pPr>
        <w:spacing w:after="0" w:line="240" w:lineRule="auto"/>
        <w:rPr>
          <w:rFonts w:ascii="Calibri" w:eastAsia="Calibri" w:hAnsi="Calibri"/>
          <w:noProof/>
          <w:szCs w:val="21"/>
        </w:rPr>
      </w:pPr>
      <w:r>
        <w:rPr>
          <w:rFonts w:ascii="Calibri" w:eastAsia="Calibri" w:hAnsi="Calibri"/>
          <w:noProof/>
          <w:szCs w:val="21"/>
        </w:rPr>
        <w:lastRenderedPageBreak/>
        <w:t>105 East 5</w:t>
      </w:r>
      <w:r>
        <w:rPr>
          <w:rFonts w:ascii="Calibri" w:eastAsia="Calibri" w:hAnsi="Calibri"/>
          <w:noProof/>
          <w:szCs w:val="21"/>
          <w:vertAlign w:val="superscript"/>
        </w:rPr>
        <w:t>th</w:t>
      </w:r>
      <w:r>
        <w:rPr>
          <w:rFonts w:ascii="Calibri" w:eastAsia="Calibri" w:hAnsi="Calibri"/>
          <w:noProof/>
          <w:szCs w:val="21"/>
        </w:rPr>
        <w:t xml:space="preserve"> St</w:t>
      </w:r>
    </w:p>
    <w:p w:rsidR="00274064" w:rsidRDefault="00274064" w:rsidP="00274064">
      <w:pPr>
        <w:spacing w:after="0" w:line="240" w:lineRule="auto"/>
        <w:rPr>
          <w:rFonts w:ascii="Calibri" w:eastAsia="Calibri" w:hAnsi="Calibri"/>
          <w:noProof/>
          <w:szCs w:val="21"/>
        </w:rPr>
      </w:pPr>
      <w:r>
        <w:rPr>
          <w:rFonts w:ascii="Calibri" w:eastAsia="Calibri" w:hAnsi="Calibri"/>
          <w:noProof/>
          <w:szCs w:val="21"/>
        </w:rPr>
        <w:t>Suite 200</w:t>
      </w:r>
    </w:p>
    <w:p w:rsidR="00274064" w:rsidRDefault="00274064" w:rsidP="00274064">
      <w:pPr>
        <w:spacing w:after="0" w:line="240" w:lineRule="auto"/>
        <w:rPr>
          <w:rFonts w:ascii="Calibri" w:eastAsia="Calibri" w:hAnsi="Calibri"/>
          <w:noProof/>
          <w:szCs w:val="21"/>
        </w:rPr>
      </w:pPr>
      <w:r>
        <w:rPr>
          <w:rFonts w:ascii="Calibri" w:eastAsia="Calibri" w:hAnsi="Calibri"/>
          <w:noProof/>
          <w:szCs w:val="21"/>
        </w:rPr>
        <w:t>Kansas City, MO 64106</w:t>
      </w:r>
    </w:p>
    <w:p w:rsidR="00274064" w:rsidRDefault="00274064" w:rsidP="00274064">
      <w:pPr>
        <w:spacing w:after="0" w:line="240" w:lineRule="auto"/>
        <w:rPr>
          <w:rFonts w:ascii="Calibri" w:eastAsia="Calibri" w:hAnsi="Calibri"/>
          <w:noProof/>
          <w:szCs w:val="21"/>
        </w:rPr>
      </w:pPr>
      <w:r>
        <w:rPr>
          <w:rFonts w:ascii="Calibri" w:eastAsia="Calibri" w:hAnsi="Calibri"/>
          <w:noProof/>
          <w:szCs w:val="21"/>
        </w:rPr>
        <w:t>tel: 816-482-5801</w:t>
      </w:r>
    </w:p>
    <w:p w:rsidR="00274064" w:rsidRDefault="00274064" w:rsidP="00274064">
      <w:pPr>
        <w:spacing w:after="0" w:line="240" w:lineRule="auto"/>
      </w:pPr>
      <w:r>
        <w:t xml:space="preserve">email: </w:t>
      </w:r>
      <w:hyperlink r:id="rId17" w:history="1">
        <w:r w:rsidRPr="00E108EE">
          <w:rPr>
            <w:rStyle w:val="Hyperlink"/>
          </w:rPr>
          <w:t>nwadikel@missouri.edu</w:t>
        </w:r>
      </w:hyperlink>
    </w:p>
    <w:p w:rsidR="00274064" w:rsidRDefault="00274064" w:rsidP="00274064">
      <w:pPr>
        <w:pBdr>
          <w:bottom w:val="single" w:sz="12" w:space="1" w:color="auto"/>
        </w:pBdr>
        <w:spacing w:after="0" w:line="240" w:lineRule="auto"/>
        <w:sectPr w:rsidR="00274064" w:rsidSect="0027406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A2377" w:rsidRDefault="00274064" w:rsidP="00274064">
      <w:pPr>
        <w:pBdr>
          <w:bottom w:val="single" w:sz="12" w:space="1" w:color="auto"/>
        </w:pBd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B9D13CC" wp14:editId="340D6AB4">
            <wp:extent cx="5943600" cy="52468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377" w:rsidSect="002740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89" w:rsidRDefault="00300D89" w:rsidP="001F2B1C">
      <w:pPr>
        <w:spacing w:after="0" w:line="240" w:lineRule="auto"/>
      </w:pPr>
      <w:r>
        <w:separator/>
      </w:r>
    </w:p>
  </w:endnote>
  <w:endnote w:type="continuationSeparator" w:id="0">
    <w:p w:rsidR="00300D89" w:rsidRDefault="00300D89" w:rsidP="001F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89" w:rsidRDefault="00300D89" w:rsidP="001F2B1C">
      <w:pPr>
        <w:spacing w:after="0" w:line="240" w:lineRule="auto"/>
      </w:pPr>
      <w:r>
        <w:separator/>
      </w:r>
    </w:p>
  </w:footnote>
  <w:footnote w:type="continuationSeparator" w:id="0">
    <w:p w:rsidR="00300D89" w:rsidRDefault="00300D89" w:rsidP="001F2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64" w:rsidRDefault="0027406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F29"/>
    <w:multiLevelType w:val="hybridMultilevel"/>
    <w:tmpl w:val="A1FE1FD0"/>
    <w:lvl w:ilvl="0" w:tplc="5B80D37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0D370">
      <w:numFmt w:val="bullet"/>
      <w:lvlText w:val="-"/>
      <w:lvlJc w:val="left"/>
      <w:pPr>
        <w:ind w:left="2160" w:hanging="360"/>
      </w:pPr>
      <w:rPr>
        <w:rFonts w:ascii="Calibri" w:eastAsia="Times New Roman" w:hAnsi="Calibri" w:cstheme="minorHAns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10E7C"/>
    <w:multiLevelType w:val="hybridMultilevel"/>
    <w:tmpl w:val="E9C83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B214D"/>
    <w:multiLevelType w:val="hybridMultilevel"/>
    <w:tmpl w:val="73064638"/>
    <w:lvl w:ilvl="0" w:tplc="237A5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0E804">
      <w:start w:val="5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8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CF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4C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ED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29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88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69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A751361"/>
    <w:multiLevelType w:val="hybridMultilevel"/>
    <w:tmpl w:val="6556118E"/>
    <w:lvl w:ilvl="0" w:tplc="1C961C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B3E38"/>
    <w:multiLevelType w:val="hybridMultilevel"/>
    <w:tmpl w:val="946EDFB0"/>
    <w:lvl w:ilvl="0" w:tplc="E40C2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D97F99"/>
    <w:multiLevelType w:val="hybridMultilevel"/>
    <w:tmpl w:val="56FA3984"/>
    <w:lvl w:ilvl="0" w:tplc="35D20B7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1D552B7"/>
    <w:multiLevelType w:val="hybridMultilevel"/>
    <w:tmpl w:val="1E5C2D7A"/>
    <w:lvl w:ilvl="0" w:tplc="229AD28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F495E97"/>
    <w:multiLevelType w:val="hybridMultilevel"/>
    <w:tmpl w:val="256AAF0E"/>
    <w:lvl w:ilvl="0" w:tplc="60EA5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77"/>
    <w:rsid w:val="0000166C"/>
    <w:rsid w:val="00012DEA"/>
    <w:rsid w:val="00037E30"/>
    <w:rsid w:val="000705C5"/>
    <w:rsid w:val="000A658F"/>
    <w:rsid w:val="000D1C39"/>
    <w:rsid w:val="000D3E40"/>
    <w:rsid w:val="000F2494"/>
    <w:rsid w:val="000F3337"/>
    <w:rsid w:val="00145225"/>
    <w:rsid w:val="0016772F"/>
    <w:rsid w:val="00181E6F"/>
    <w:rsid w:val="00183B3E"/>
    <w:rsid w:val="001A2377"/>
    <w:rsid w:val="001A2655"/>
    <w:rsid w:val="001B5834"/>
    <w:rsid w:val="001E1934"/>
    <w:rsid w:val="001F2B1C"/>
    <w:rsid w:val="001F6073"/>
    <w:rsid w:val="00203768"/>
    <w:rsid w:val="00217372"/>
    <w:rsid w:val="002542BC"/>
    <w:rsid w:val="00256958"/>
    <w:rsid w:val="0026127A"/>
    <w:rsid w:val="00274064"/>
    <w:rsid w:val="00285149"/>
    <w:rsid w:val="0029161B"/>
    <w:rsid w:val="002A3097"/>
    <w:rsid w:val="002C6F19"/>
    <w:rsid w:val="002F6B38"/>
    <w:rsid w:val="00300D89"/>
    <w:rsid w:val="00332496"/>
    <w:rsid w:val="00342270"/>
    <w:rsid w:val="00381D07"/>
    <w:rsid w:val="0039016E"/>
    <w:rsid w:val="003A046B"/>
    <w:rsid w:val="003C287B"/>
    <w:rsid w:val="003D30D0"/>
    <w:rsid w:val="003D6C12"/>
    <w:rsid w:val="004002E0"/>
    <w:rsid w:val="0042250C"/>
    <w:rsid w:val="00422E64"/>
    <w:rsid w:val="004369EA"/>
    <w:rsid w:val="004849CC"/>
    <w:rsid w:val="004924BC"/>
    <w:rsid w:val="004B407E"/>
    <w:rsid w:val="004D3ED2"/>
    <w:rsid w:val="004F5446"/>
    <w:rsid w:val="00505565"/>
    <w:rsid w:val="00540B20"/>
    <w:rsid w:val="00546A23"/>
    <w:rsid w:val="0058426B"/>
    <w:rsid w:val="005923E7"/>
    <w:rsid w:val="005C5B1B"/>
    <w:rsid w:val="005F69FF"/>
    <w:rsid w:val="00602A2B"/>
    <w:rsid w:val="006318F4"/>
    <w:rsid w:val="00631CCC"/>
    <w:rsid w:val="0064267D"/>
    <w:rsid w:val="006F2429"/>
    <w:rsid w:val="00753BC6"/>
    <w:rsid w:val="007675E5"/>
    <w:rsid w:val="0078193A"/>
    <w:rsid w:val="007C242C"/>
    <w:rsid w:val="0080488F"/>
    <w:rsid w:val="00813C4E"/>
    <w:rsid w:val="008B09FA"/>
    <w:rsid w:val="008B2DD6"/>
    <w:rsid w:val="00937042"/>
    <w:rsid w:val="00957B05"/>
    <w:rsid w:val="00967800"/>
    <w:rsid w:val="0098353D"/>
    <w:rsid w:val="009B7EF5"/>
    <w:rsid w:val="009D1A33"/>
    <w:rsid w:val="00A15C5E"/>
    <w:rsid w:val="00A35709"/>
    <w:rsid w:val="00A665C3"/>
    <w:rsid w:val="00A71918"/>
    <w:rsid w:val="00A94534"/>
    <w:rsid w:val="00AB76E1"/>
    <w:rsid w:val="00AE52A6"/>
    <w:rsid w:val="00B057A6"/>
    <w:rsid w:val="00B20AA4"/>
    <w:rsid w:val="00BC6969"/>
    <w:rsid w:val="00BE17A5"/>
    <w:rsid w:val="00BF7840"/>
    <w:rsid w:val="00C04A46"/>
    <w:rsid w:val="00C13CA0"/>
    <w:rsid w:val="00C3077B"/>
    <w:rsid w:val="00C33C0B"/>
    <w:rsid w:val="00C41B6E"/>
    <w:rsid w:val="00C67FA7"/>
    <w:rsid w:val="00CC651D"/>
    <w:rsid w:val="00CD3119"/>
    <w:rsid w:val="00CE306E"/>
    <w:rsid w:val="00D2788D"/>
    <w:rsid w:val="00D355F9"/>
    <w:rsid w:val="00D35F77"/>
    <w:rsid w:val="00D65F7E"/>
    <w:rsid w:val="00D67F1A"/>
    <w:rsid w:val="00D77D03"/>
    <w:rsid w:val="00DE264E"/>
    <w:rsid w:val="00DE69D5"/>
    <w:rsid w:val="00DF08E3"/>
    <w:rsid w:val="00E80A24"/>
    <w:rsid w:val="00F2561F"/>
    <w:rsid w:val="00F32312"/>
    <w:rsid w:val="00FA5210"/>
    <w:rsid w:val="00FC0932"/>
    <w:rsid w:val="00FC0C3F"/>
    <w:rsid w:val="00FE41BF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7FA7"/>
    <w:rPr>
      <w:b/>
      <w:bCs/>
      <w:strike w:val="0"/>
      <w:dstrike w:val="0"/>
      <w:color w:val="0000FF"/>
      <w:u w:val="none"/>
      <w:effect w:val="none"/>
    </w:rPr>
  </w:style>
  <w:style w:type="paragraph" w:customStyle="1" w:styleId="bodytextlarge">
    <w:name w:val="body_text_large"/>
    <w:basedOn w:val="Normal"/>
    <w:rsid w:val="001F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1F2B1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1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2B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B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B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4064"/>
    <w:pPr>
      <w:ind w:left="720"/>
      <w:contextualSpacing/>
    </w:pPr>
  </w:style>
  <w:style w:type="character" w:customStyle="1" w:styleId="object3">
    <w:name w:val="object3"/>
    <w:basedOn w:val="DefaultParagraphFont"/>
    <w:rsid w:val="00274064"/>
    <w:rPr>
      <w:strike w:val="0"/>
      <w:dstrike w:val="0"/>
      <w:color w:val="255ED1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274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064"/>
  </w:style>
  <w:style w:type="character" w:styleId="FollowedHyperlink">
    <w:name w:val="FollowedHyperlink"/>
    <w:basedOn w:val="DefaultParagraphFont"/>
    <w:uiPriority w:val="99"/>
    <w:semiHidden/>
    <w:unhideWhenUsed/>
    <w:rsid w:val="00FC0C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127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7FA7"/>
    <w:rPr>
      <w:b/>
      <w:bCs/>
      <w:strike w:val="0"/>
      <w:dstrike w:val="0"/>
      <w:color w:val="0000FF"/>
      <w:u w:val="none"/>
      <w:effect w:val="none"/>
    </w:rPr>
  </w:style>
  <w:style w:type="paragraph" w:customStyle="1" w:styleId="bodytextlarge">
    <w:name w:val="body_text_large"/>
    <w:basedOn w:val="Normal"/>
    <w:rsid w:val="001F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1F2B1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1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2B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B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B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4064"/>
    <w:pPr>
      <w:ind w:left="720"/>
      <w:contextualSpacing/>
    </w:pPr>
  </w:style>
  <w:style w:type="character" w:customStyle="1" w:styleId="object3">
    <w:name w:val="object3"/>
    <w:basedOn w:val="DefaultParagraphFont"/>
    <w:rsid w:val="00274064"/>
    <w:rPr>
      <w:strike w:val="0"/>
      <w:dstrike w:val="0"/>
      <w:color w:val="255ED1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274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064"/>
  </w:style>
  <w:style w:type="character" w:styleId="FollowedHyperlink">
    <w:name w:val="FollowedHyperlink"/>
    <w:basedOn w:val="DefaultParagraphFont"/>
    <w:uiPriority w:val="99"/>
    <w:semiHidden/>
    <w:unhideWhenUsed/>
    <w:rsid w:val="00FC0C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127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8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2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oducesafetyalliance.cornell.edu/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da.gov/Food/FoodSafety/FSMA/default.htm" TargetMode="External"/><Relationship Id="rId17" Type="http://schemas.openxmlformats.org/officeDocument/2006/relationships/hyperlink" Target="mailto:nwadikel@missour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nwadike@ks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da.gov/Food/FoodScienceResearch/LaboratoryMethods/ucm575251.htm?source=govdelivery&amp;utm_medium=email&amp;utm_source=govdelivery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roducesafetyalliance.cornel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4D21-521A-4F33-85E6-84466C9A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Londa Nwadike</dc:creator>
  <cp:lastModifiedBy>Karen Marie Blakeslee</cp:lastModifiedBy>
  <cp:revision>2</cp:revision>
  <cp:lastPrinted>2017-11-07T19:27:00Z</cp:lastPrinted>
  <dcterms:created xsi:type="dcterms:W3CDTF">2017-11-07T19:36:00Z</dcterms:created>
  <dcterms:modified xsi:type="dcterms:W3CDTF">2017-11-07T19:36:00Z</dcterms:modified>
</cp:coreProperties>
</file>